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EB6FD" w14:textId="70FE28A5" w:rsidR="007A1475" w:rsidRPr="00B82161" w:rsidRDefault="00953A69" w:rsidP="00B82161">
      <w:pPr>
        <w:pStyle w:val="Title"/>
        <w:spacing w:before="0" w:after="280"/>
      </w:pPr>
      <w:r w:rsidRPr="00953A69">
        <w:t>The Intertwining of Data, Decisions, and Reliability</w:t>
      </w:r>
    </w:p>
    <w:p w14:paraId="6A6EBBFC" w14:textId="4BB01C31" w:rsidR="007A1475" w:rsidRPr="00DB0965" w:rsidRDefault="00953A69" w:rsidP="00711B08">
      <w:pPr>
        <w:pStyle w:val="Subtitle"/>
        <w:spacing w:before="0" w:after="220"/>
        <w:contextualSpacing/>
        <w:rPr>
          <w:vertAlign w:val="superscript"/>
        </w:rPr>
      </w:pPr>
      <w:r w:rsidRPr="00953A69">
        <w:t>D. Mandelli</w:t>
      </w:r>
      <w:r w:rsidR="00DB0965">
        <w:rPr>
          <w:vertAlign w:val="superscript"/>
        </w:rPr>
        <w:t>1</w:t>
      </w:r>
      <w:r>
        <w:t>,</w:t>
      </w:r>
      <w:r w:rsidRPr="00953A69">
        <w:t xml:space="preserve"> S. Lawrence</w:t>
      </w:r>
      <w:r w:rsidR="00DB0965">
        <w:rPr>
          <w:vertAlign w:val="superscript"/>
        </w:rPr>
        <w:t>1</w:t>
      </w:r>
      <w:r w:rsidRPr="00953A69">
        <w:t>, T. Anselmi</w:t>
      </w:r>
      <w:r w:rsidR="00DB0965">
        <w:rPr>
          <w:vertAlign w:val="superscript"/>
        </w:rPr>
        <w:t>1</w:t>
      </w:r>
    </w:p>
    <w:p w14:paraId="572E13BA" w14:textId="001F27A9" w:rsidR="009F546C" w:rsidRDefault="00DB0965" w:rsidP="00953A69">
      <w:pPr>
        <w:spacing w:before="0" w:after="240"/>
        <w:contextualSpacing/>
        <w:jc w:val="center"/>
      </w:pPr>
      <w:r>
        <w:rPr>
          <w:vertAlign w:val="superscript"/>
        </w:rPr>
        <w:t>1</w:t>
      </w:r>
      <w:r w:rsidR="00953A69">
        <w:t>Idaho National Laboratory, Idaho Falls (ID), USA</w:t>
      </w:r>
    </w:p>
    <w:p w14:paraId="1DB7BE29" w14:textId="77777777" w:rsidR="00B82161" w:rsidRPr="00B82161" w:rsidRDefault="00B82161" w:rsidP="00B82161">
      <w:pPr>
        <w:spacing w:before="0" w:after="240"/>
        <w:contextualSpacing/>
        <w:jc w:val="center"/>
        <w:rPr>
          <w:bCs/>
        </w:rPr>
      </w:pPr>
    </w:p>
    <w:p w14:paraId="2D06DA7A" w14:textId="45DD9CE2" w:rsidR="00B82161" w:rsidRPr="00530AFA" w:rsidRDefault="007A1475" w:rsidP="00530AFA">
      <w:pPr>
        <w:jc w:val="center"/>
        <w:rPr>
          <w:i/>
          <w:iCs/>
        </w:rPr>
      </w:pPr>
      <w:r w:rsidRPr="00B82161">
        <w:rPr>
          <w:i/>
          <w:iCs/>
        </w:rPr>
        <w:t>[</w:t>
      </w:r>
      <w:r w:rsidR="009933F1">
        <w:rPr>
          <w:i/>
          <w:iCs/>
        </w:rPr>
        <w:t xml:space="preserve">Remove this line but </w:t>
      </w:r>
      <w:r w:rsidRPr="00B82161">
        <w:rPr>
          <w:i/>
          <w:iCs/>
        </w:rPr>
        <w:t>leave space for DOI, which will be inserted by ANS]</w:t>
      </w:r>
    </w:p>
    <w:p w14:paraId="7AF83AE8" w14:textId="77777777" w:rsidR="002C10B0" w:rsidRPr="00D61A94" w:rsidRDefault="002C10B0" w:rsidP="00530AFA">
      <w:pPr>
        <w:pStyle w:val="DefaultHeading"/>
        <w:spacing w:before="480" w:after="480"/>
      </w:pPr>
      <w:r w:rsidRPr="00B82161">
        <w:t>ABSTRACT</w:t>
      </w:r>
    </w:p>
    <w:p w14:paraId="1FF8C627" w14:textId="6DB77DF2" w:rsidR="00495642" w:rsidRDefault="0026379C" w:rsidP="00F01FDD">
      <w:pPr>
        <w:pStyle w:val="Abstract"/>
        <w:spacing w:before="0" w:after="240"/>
      </w:pPr>
      <w:r w:rsidRPr="0026379C">
        <w:t xml:space="preserve">The </w:t>
      </w:r>
      <w:r>
        <w:t xml:space="preserve">concepts of </w:t>
      </w:r>
      <w:r w:rsidR="00F01FDD" w:rsidRPr="00F01FDD">
        <w:t xml:space="preserve">structures, systems and component (SSC) </w:t>
      </w:r>
      <w:r w:rsidRPr="0026379C">
        <w:t>failure rate and failure probability are</w:t>
      </w:r>
      <w:r>
        <w:t xml:space="preserve"> in principle</w:t>
      </w:r>
      <w:r w:rsidRPr="0026379C">
        <w:t xml:space="preserve"> </w:t>
      </w:r>
      <w:r>
        <w:t>used</w:t>
      </w:r>
      <w:r w:rsidRPr="0026379C">
        <w:t xml:space="preserve"> to model </w:t>
      </w:r>
      <w:r w:rsidR="004D7781">
        <w:t xml:space="preserve">the </w:t>
      </w:r>
      <w:r w:rsidRPr="0026379C">
        <w:t xml:space="preserve">occurrence of </w:t>
      </w:r>
      <w:r>
        <w:t xml:space="preserve">events (such as </w:t>
      </w:r>
      <w:r w:rsidRPr="0026379C">
        <w:t>SSC failure</w:t>
      </w:r>
      <w:r>
        <w:t>)</w:t>
      </w:r>
      <w:r w:rsidRPr="0026379C">
        <w:t xml:space="preserve"> that </w:t>
      </w:r>
      <w:r w:rsidR="004D7781">
        <w:t>are</w:t>
      </w:r>
      <w:r w:rsidR="004D7781" w:rsidRPr="0026379C">
        <w:t xml:space="preserve"> </w:t>
      </w:r>
      <w:r w:rsidRPr="0026379C">
        <w:t>considered stochastic in nature</w:t>
      </w:r>
      <w:r>
        <w:t>.</w:t>
      </w:r>
      <w:r w:rsidRPr="0026379C">
        <w:t xml:space="preserve"> </w:t>
      </w:r>
      <w:r>
        <w:t xml:space="preserve">This </w:t>
      </w:r>
      <w:r w:rsidR="00202A83">
        <w:t xml:space="preserve">modeling choice </w:t>
      </w:r>
      <w:r>
        <w:t>is imposed by the fact that</w:t>
      </w:r>
      <w:r w:rsidRPr="0026379C">
        <w:t xml:space="preserve"> we do not possess enough knowledge to model such </w:t>
      </w:r>
      <w:r w:rsidR="004D7781">
        <w:t xml:space="preserve">an </w:t>
      </w:r>
      <w:r>
        <w:t xml:space="preserve">event (or the phenomena causing such </w:t>
      </w:r>
      <w:r w:rsidR="004D7781">
        <w:t xml:space="preserve">an </w:t>
      </w:r>
      <w:r>
        <w:t>event)</w:t>
      </w:r>
      <w:r w:rsidRPr="0026379C">
        <w:t xml:space="preserve"> in deterministic terms through either data- or physics-based </w:t>
      </w:r>
      <w:proofErr w:type="gramStart"/>
      <w:r w:rsidRPr="0026379C">
        <w:t>considerations</w:t>
      </w:r>
      <w:proofErr w:type="gramEnd"/>
      <w:r w:rsidRPr="0026379C">
        <w:t>.</w:t>
      </w:r>
      <w:r>
        <w:t xml:space="preserve"> T</w:t>
      </w:r>
      <w:r w:rsidRPr="0026379C">
        <w:t xml:space="preserve">he deployment of advanced surveillance, monitoring, </w:t>
      </w:r>
      <w:r w:rsidR="00493BEB">
        <w:t xml:space="preserve">and </w:t>
      </w:r>
      <w:r w:rsidRPr="0026379C">
        <w:t xml:space="preserve">prognostic and health management </w:t>
      </w:r>
      <w:r>
        <w:t xml:space="preserve">systems </w:t>
      </w:r>
      <w:r w:rsidR="004D7781" w:rsidRPr="0026379C">
        <w:t xml:space="preserve">in many industries </w:t>
      </w:r>
      <w:r w:rsidR="004D7781">
        <w:t>is</w:t>
      </w:r>
      <w:r w:rsidR="004D7781" w:rsidRPr="0026379C">
        <w:t xml:space="preserve"> </w:t>
      </w:r>
      <w:r w:rsidRPr="0026379C">
        <w:t xml:space="preserve">very helpful to system engineers and plant operators </w:t>
      </w:r>
      <w:r w:rsidR="004B5492">
        <w:t>monitoring</w:t>
      </w:r>
      <w:r w:rsidRPr="0026379C">
        <w:t xml:space="preserve"> the health of SSCs.</w:t>
      </w:r>
      <w:r>
        <w:t xml:space="preserve"> These systems </w:t>
      </w:r>
      <w:r w:rsidRPr="0026379C">
        <w:t xml:space="preserve">provide deterministic indications about SSC health and performance; consequently, the occurrence of </w:t>
      </w:r>
      <w:r w:rsidR="004B5492">
        <w:t xml:space="preserve">an </w:t>
      </w:r>
      <w:r w:rsidRPr="0026379C">
        <w:t xml:space="preserve">SSC failure </w:t>
      </w:r>
      <w:r>
        <w:t xml:space="preserve">event cannot </w:t>
      </w:r>
      <w:r w:rsidR="004B5492">
        <w:t xml:space="preserve">be </w:t>
      </w:r>
      <w:r>
        <w:t>consider</w:t>
      </w:r>
      <w:r w:rsidR="004B5492">
        <w:t>ed</w:t>
      </w:r>
      <w:r w:rsidRPr="0026379C">
        <w:t xml:space="preserve"> completely stochastic in nature. </w:t>
      </w:r>
      <w:r w:rsidR="00F01FDD">
        <w:t>Given these premises</w:t>
      </w:r>
      <w:r w:rsidRPr="0026379C">
        <w:t xml:space="preserve">: does it make sense to think in terms </w:t>
      </w:r>
      <w:r w:rsidR="004B5492">
        <w:t xml:space="preserve">of </w:t>
      </w:r>
      <w:r w:rsidRPr="0026379C">
        <w:t xml:space="preserve">SSC failure rate and failure probability when </w:t>
      </w:r>
      <w:r w:rsidR="00F01FDD">
        <w:t>monitoring and surveillance</w:t>
      </w:r>
      <w:r w:rsidRPr="0026379C">
        <w:t xml:space="preserve"> activities are performed? </w:t>
      </w:r>
      <w:r w:rsidR="00F01FDD" w:rsidRPr="0026379C">
        <w:t>This paper answer</w:t>
      </w:r>
      <w:r w:rsidR="00F01FDD">
        <w:t>s</w:t>
      </w:r>
      <w:r w:rsidR="00F01FDD" w:rsidRPr="0026379C">
        <w:t xml:space="preserve"> this question </w:t>
      </w:r>
      <w:r w:rsidR="00F01FDD">
        <w:t>by first identifying the</w:t>
      </w:r>
      <w:r w:rsidR="00F01FDD" w:rsidRPr="0026379C">
        <w:t xml:space="preserve"> links between SSC health, performance</w:t>
      </w:r>
      <w:r w:rsidR="004B5492">
        <w:t>,</w:t>
      </w:r>
      <w:r w:rsidR="00F01FDD" w:rsidRPr="0026379C">
        <w:t xml:space="preserve"> and reliability through a system engineering point of view. </w:t>
      </w:r>
      <w:r w:rsidR="00F01FDD">
        <w:t xml:space="preserve">We then proceed by </w:t>
      </w:r>
      <w:r w:rsidRPr="0026379C">
        <w:t xml:space="preserve">identifying the deterministic and stochastic elements of the ensemble “SSC and </w:t>
      </w:r>
      <w:r w:rsidR="00F01FDD">
        <w:t>monitoring/surveillance</w:t>
      </w:r>
      <w:r w:rsidRPr="0026379C">
        <w:t xml:space="preserve">” system. Based on </w:t>
      </w:r>
      <w:r w:rsidR="004B5492">
        <w:t>these</w:t>
      </w:r>
      <w:r w:rsidR="004B5492" w:rsidRPr="0026379C">
        <w:t xml:space="preserve"> </w:t>
      </w:r>
      <w:r w:rsidRPr="0026379C">
        <w:t xml:space="preserve">considerations, </w:t>
      </w:r>
      <w:r w:rsidR="004B5492">
        <w:t xml:space="preserve">the </w:t>
      </w:r>
      <w:r w:rsidRPr="0026379C">
        <w:t>SSC failure rate or failure probability is modeled by considering only the stochastic elements of the ensemble “</w:t>
      </w:r>
      <w:r w:rsidR="00F01FDD" w:rsidRPr="0026379C">
        <w:t xml:space="preserve">SSC and </w:t>
      </w:r>
      <w:r w:rsidR="00F01FDD">
        <w:t>monitoring/surveillance</w:t>
      </w:r>
      <w:r w:rsidRPr="0026379C">
        <w:t>” system.</w:t>
      </w:r>
    </w:p>
    <w:p w14:paraId="25D680FD" w14:textId="26E59DA3" w:rsidR="004C77BE" w:rsidRPr="00953A69" w:rsidRDefault="00504FE1" w:rsidP="00B82161">
      <w:pPr>
        <w:pStyle w:val="Abstract"/>
        <w:rPr>
          <w:i/>
          <w:szCs w:val="20"/>
        </w:rPr>
      </w:pPr>
      <w:r w:rsidRPr="00953A69">
        <w:rPr>
          <w:i/>
        </w:rPr>
        <w:t>Key</w:t>
      </w:r>
      <w:r w:rsidR="00444DEC" w:rsidRPr="00953A69">
        <w:rPr>
          <w:i/>
        </w:rPr>
        <w:t>w</w:t>
      </w:r>
      <w:r w:rsidRPr="00953A69">
        <w:rPr>
          <w:i/>
        </w:rPr>
        <w:t xml:space="preserve">ords: </w:t>
      </w:r>
      <w:r w:rsidR="00953A69" w:rsidRPr="00953A69">
        <w:rPr>
          <w:i/>
        </w:rPr>
        <w:t>reliability, risk</w:t>
      </w:r>
      <w:r w:rsidR="000A04E9">
        <w:rPr>
          <w:i/>
        </w:rPr>
        <w:t xml:space="preserve"> </w:t>
      </w:r>
      <w:r w:rsidR="00953A69" w:rsidRPr="00953A69">
        <w:rPr>
          <w:i/>
        </w:rPr>
        <w:t>informed, performance</w:t>
      </w:r>
      <w:r w:rsidR="000A04E9">
        <w:rPr>
          <w:i/>
        </w:rPr>
        <w:t xml:space="preserve"> </w:t>
      </w:r>
      <w:r w:rsidR="00953A69" w:rsidRPr="00953A69">
        <w:rPr>
          <w:i/>
        </w:rPr>
        <w:t>based</w:t>
      </w:r>
    </w:p>
    <w:p w14:paraId="311F33F1" w14:textId="77777777" w:rsidR="002C10B0" w:rsidRPr="00CD3594" w:rsidRDefault="002C10B0" w:rsidP="002E292E">
      <w:pPr>
        <w:pStyle w:val="Heading1"/>
      </w:pPr>
      <w:r w:rsidRPr="00CD3594">
        <w:t>INTRODUCTION</w:t>
      </w:r>
    </w:p>
    <w:p w14:paraId="3C1A4F40" w14:textId="35E908C2" w:rsidR="00953A69" w:rsidRPr="005D66AA" w:rsidRDefault="00953A69" w:rsidP="00953A69">
      <w:r w:rsidRPr="005D66AA">
        <w:t xml:space="preserve">The </w:t>
      </w:r>
      <w:r w:rsidRPr="005D66AA">
        <w:rPr>
          <w:i/>
          <w:iCs/>
        </w:rPr>
        <w:t>reliability</w:t>
      </w:r>
      <w:r w:rsidRPr="005D66AA">
        <w:t xml:space="preserve"> value (expressed in terms of either probability or probability rate) associated with a </w:t>
      </w:r>
      <w:r w:rsidR="00F01FDD" w:rsidRPr="00F01FDD">
        <w:t>structure, system</w:t>
      </w:r>
      <w:r w:rsidR="004B5492">
        <w:t>,</w:t>
      </w:r>
      <w:r w:rsidR="00F01FDD" w:rsidRPr="00F01FDD">
        <w:t xml:space="preserve"> and component (SSC) </w:t>
      </w:r>
      <w:r w:rsidRPr="005D66AA">
        <w:t>is an analytical measure of the occurrence of an undesired aleatory behavior of the SSC (e.g., its failure or loss of function)</w:t>
      </w:r>
      <w:r w:rsidR="00202A83">
        <w:t xml:space="preserve"> [1]</w:t>
      </w:r>
      <w:r w:rsidRPr="005D66AA">
        <w:t xml:space="preserve">. Such </w:t>
      </w:r>
      <w:r w:rsidR="00CA2BF2">
        <w:t xml:space="preserve">a </w:t>
      </w:r>
      <w:r w:rsidRPr="005D66AA">
        <w:t xml:space="preserve">value is typically determined from past operational data (e.g., recorded instances of SSC failures) derived from similar SSCs operating in similar operation conditions. The same value can be refined further through Bayesian updating </w:t>
      </w:r>
      <w:r w:rsidR="00F01FDD">
        <w:t xml:space="preserve">processes </w:t>
      </w:r>
      <w:r w:rsidRPr="005D66AA">
        <w:t>based on the observed occurrences of undesired behavior for the SSC under consideration</w:t>
      </w:r>
      <w:r w:rsidR="008E6E64">
        <w:t xml:space="preserve"> [</w:t>
      </w:r>
      <w:r w:rsidR="00202A83">
        <w:t>2</w:t>
      </w:r>
      <w:r w:rsidR="008E6E64">
        <w:t>]</w:t>
      </w:r>
      <w:r w:rsidRPr="005D66AA">
        <w:t>. Based on the obtained SSC reliability value, plant designers can plan for redundant SSCs to reach certain risk goals through plant probabilistic risk assessment models. Similarly, specific maintenance and surveillance operations can be periodically set to help ensure that functional and risk goals are met.</w:t>
      </w:r>
    </w:p>
    <w:p w14:paraId="411AF768" w14:textId="7F7D138E" w:rsidR="00C103E3" w:rsidRPr="005D66AA" w:rsidRDefault="00953A69" w:rsidP="00953A69">
      <w:r w:rsidRPr="005D66AA">
        <w:t xml:space="preserve">The past two decades have seen the emergence and deployment of advanced </w:t>
      </w:r>
      <w:r w:rsidR="005801B8" w:rsidRPr="005D66AA">
        <w:t xml:space="preserve">surveillance, </w:t>
      </w:r>
      <w:r w:rsidRPr="005D66AA">
        <w:t xml:space="preserve">monitoring, </w:t>
      </w:r>
      <w:r w:rsidR="00493BEB">
        <w:t xml:space="preserve">and </w:t>
      </w:r>
      <w:r w:rsidRPr="005D66AA">
        <w:t>prognostic and health management (</w:t>
      </w:r>
      <w:r w:rsidR="005D66AA">
        <w:t>S-M-</w:t>
      </w:r>
      <w:r w:rsidRPr="005D66AA">
        <w:t xml:space="preserve">PHM) computational tools </w:t>
      </w:r>
      <w:r w:rsidR="00CA2BF2" w:rsidRPr="005D66AA">
        <w:t xml:space="preserve">in many industries </w:t>
      </w:r>
      <w:r w:rsidRPr="005D66AA">
        <w:t>for anomaly detection, diagnostic, and prognostic purposes</w:t>
      </w:r>
      <w:r w:rsidR="00202A83">
        <w:t xml:space="preserve"> [3,4]</w:t>
      </w:r>
      <w:r w:rsidRPr="005D66AA">
        <w:t xml:space="preserve">. These monitoring and analysis elements are very helpful to system engineers and plant operators </w:t>
      </w:r>
      <w:r w:rsidR="00CA2BF2">
        <w:t>monitoring</w:t>
      </w:r>
      <w:r w:rsidRPr="005D66AA">
        <w:t xml:space="preserve"> </w:t>
      </w:r>
      <w:r w:rsidR="00CA2BF2" w:rsidRPr="005D66AA">
        <w:t>the health</w:t>
      </w:r>
      <w:r w:rsidRPr="005D66AA">
        <w:t xml:space="preserve"> of critical SSCs. Based on the health assessment of such</w:t>
      </w:r>
      <w:r w:rsidR="00CA2BF2">
        <w:t xml:space="preserve"> </w:t>
      </w:r>
      <w:r w:rsidRPr="005D66AA">
        <w:t>SSC</w:t>
      </w:r>
      <w:r w:rsidR="001E494F">
        <w:t>s</w:t>
      </w:r>
      <w:r w:rsidRPr="005D66AA">
        <w:t xml:space="preserve">, system engineers can perform </w:t>
      </w:r>
      <w:r w:rsidR="005801B8" w:rsidRPr="005D66AA">
        <w:t>operation</w:t>
      </w:r>
      <w:r w:rsidR="00224ED4">
        <w:t xml:space="preserve"> and</w:t>
      </w:r>
      <w:r w:rsidR="005801B8" w:rsidRPr="005D66AA">
        <w:t xml:space="preserve"> </w:t>
      </w:r>
      <w:r w:rsidRPr="005D66AA">
        <w:t xml:space="preserve">maintenance </w:t>
      </w:r>
      <w:r w:rsidR="005801B8" w:rsidRPr="005D66AA">
        <w:t xml:space="preserve">(O&amp;M) </w:t>
      </w:r>
      <w:r w:rsidR="00CA2BF2">
        <w:t>activities</w:t>
      </w:r>
      <w:r w:rsidR="00CA2BF2" w:rsidRPr="005D66AA">
        <w:t xml:space="preserve"> </w:t>
      </w:r>
      <w:r w:rsidRPr="005D66AA">
        <w:t xml:space="preserve">designed to avoid </w:t>
      </w:r>
      <w:r w:rsidR="00493BEB">
        <w:t>a</w:t>
      </w:r>
      <w:r w:rsidR="00D74A50">
        <w:t xml:space="preserve">n </w:t>
      </w:r>
      <w:r w:rsidRPr="005D66AA">
        <w:t xml:space="preserve">SSC loss of function only when needed. In this context, collected </w:t>
      </w:r>
      <w:r w:rsidRPr="005D66AA">
        <w:rPr>
          <w:i/>
          <w:iCs/>
        </w:rPr>
        <w:t>data</w:t>
      </w:r>
      <w:r w:rsidRPr="005D66AA">
        <w:t xml:space="preserve"> provide indications of SSC degradation</w:t>
      </w:r>
      <w:r w:rsidR="00C103E3" w:rsidRPr="005D66AA">
        <w:t xml:space="preserve"> and direct proper</w:t>
      </w:r>
      <w:r w:rsidR="005801B8" w:rsidRPr="005D66AA">
        <w:t xml:space="preserve"> O&amp;M</w:t>
      </w:r>
      <w:r w:rsidR="00C103E3" w:rsidRPr="005D66AA">
        <w:t xml:space="preserve"> </w:t>
      </w:r>
      <w:r w:rsidR="00C103E3" w:rsidRPr="005D66AA">
        <w:rPr>
          <w:i/>
          <w:iCs/>
        </w:rPr>
        <w:t>decisions</w:t>
      </w:r>
      <w:r w:rsidRPr="005D66AA">
        <w:t>. Given this “dynamic” operational setting</w:t>
      </w:r>
      <w:r w:rsidR="00C103E3" w:rsidRPr="005D66AA">
        <w:t xml:space="preserve"> where knowledge is accumulated by SSC PHM systems:</w:t>
      </w:r>
    </w:p>
    <w:p w14:paraId="08478EF3" w14:textId="596715B3" w:rsidR="00C103E3" w:rsidRPr="005D66AA" w:rsidRDefault="00C103E3" w:rsidP="00C103E3">
      <w:pPr>
        <w:pStyle w:val="ListParagraph"/>
        <w:numPr>
          <w:ilvl w:val="0"/>
          <w:numId w:val="14"/>
        </w:numPr>
      </w:pPr>
      <w:r w:rsidRPr="005D66AA">
        <w:t>What is the link between SSC performance</w:t>
      </w:r>
      <w:r w:rsidR="005801B8" w:rsidRPr="005D66AA">
        <w:t xml:space="preserve">, O&amp;M </w:t>
      </w:r>
      <w:r w:rsidR="00493BEB">
        <w:t>activities</w:t>
      </w:r>
      <w:r w:rsidR="005801B8" w:rsidRPr="005D66AA">
        <w:t>,</w:t>
      </w:r>
      <w:r w:rsidRPr="005D66AA">
        <w:t xml:space="preserve"> and SSC reliability?</w:t>
      </w:r>
    </w:p>
    <w:p w14:paraId="4ABFB018" w14:textId="4BA7F397" w:rsidR="00C103E3" w:rsidRPr="005D66AA" w:rsidRDefault="00C103E3" w:rsidP="00C103E3">
      <w:pPr>
        <w:pStyle w:val="ListParagraph"/>
        <w:numPr>
          <w:ilvl w:val="0"/>
          <w:numId w:val="14"/>
        </w:numPr>
      </w:pPr>
      <w:r w:rsidRPr="005D66AA">
        <w:lastRenderedPageBreak/>
        <w:t>D</w:t>
      </w:r>
      <w:r w:rsidR="00953A69" w:rsidRPr="005D66AA">
        <w:t>oes it make sense to measure SSC reliability</w:t>
      </w:r>
      <w:r w:rsidRPr="005D66AA">
        <w:t xml:space="preserve"> in terms of probability or probability rate</w:t>
      </w:r>
      <w:r w:rsidR="00953A69" w:rsidRPr="005D66AA">
        <w:t>?</w:t>
      </w:r>
    </w:p>
    <w:p w14:paraId="5229B85C" w14:textId="7940EC8C" w:rsidR="00953A69" w:rsidRPr="005D66AA" w:rsidRDefault="00953A69" w:rsidP="00C103E3">
      <w:pPr>
        <w:pStyle w:val="ListParagraph"/>
        <w:numPr>
          <w:ilvl w:val="0"/>
          <w:numId w:val="14"/>
        </w:numPr>
      </w:pPr>
      <w:r w:rsidRPr="005D66AA">
        <w:t>If the answer is yes, which aleatory behavior should be considered as part of the reliability modeling?</w:t>
      </w:r>
    </w:p>
    <w:p w14:paraId="25927545" w14:textId="35956786" w:rsidR="00953A69" w:rsidRPr="005D66AA" w:rsidRDefault="00953A69" w:rsidP="00953A69">
      <w:r w:rsidRPr="005D66AA">
        <w:t xml:space="preserve">This paper aims to answer these questions </w:t>
      </w:r>
      <w:r w:rsidR="005801B8" w:rsidRPr="005D66AA">
        <w:t xml:space="preserve">through a system engineering lens </w:t>
      </w:r>
      <w:r w:rsidRPr="005D66AA">
        <w:t xml:space="preserve">by looking at the functional links between data, decisions (i.e., maintenance and surveillance operations), </w:t>
      </w:r>
      <w:r w:rsidR="00493BEB">
        <w:t xml:space="preserve">and </w:t>
      </w:r>
      <w:r w:rsidRPr="005D66AA">
        <w:t xml:space="preserve">SSC reliability and performance. The starting point is </w:t>
      </w:r>
      <w:r w:rsidR="00493BEB">
        <w:t>analyzing</w:t>
      </w:r>
      <w:r w:rsidRPr="005D66AA">
        <w:t xml:space="preserve"> the conceptual differences between reliability and performance associated with an SSC. </w:t>
      </w:r>
      <w:r w:rsidR="00A53291" w:rsidRPr="005D66AA">
        <w:t>A few</w:t>
      </w:r>
      <w:r w:rsidRPr="005D66AA">
        <w:t xml:space="preserve"> practical examples applied to both passive and active SSC</w:t>
      </w:r>
      <w:r w:rsidR="00493BEB">
        <w:t>s</w:t>
      </w:r>
      <w:r w:rsidRPr="005D66AA">
        <w:t xml:space="preserve"> </w:t>
      </w:r>
      <w:r w:rsidR="005801B8" w:rsidRPr="005D66AA">
        <w:t>are</w:t>
      </w:r>
      <w:r w:rsidRPr="005D66AA">
        <w:t xml:space="preserve"> provided where considerations from both system engineers and </w:t>
      </w:r>
      <w:r w:rsidR="00CA2BF2" w:rsidRPr="005D66AA">
        <w:t xml:space="preserve">probabilistic risk assessment </w:t>
      </w:r>
      <w:r w:rsidRPr="005D66AA">
        <w:t>staff will be explicitly presented. From there, the bridge between risk-informed and performance-based</w:t>
      </w:r>
      <w:r w:rsidR="00202A83">
        <w:t xml:space="preserve"> concepts</w:t>
      </w:r>
      <w:r w:rsidRPr="005D66AA">
        <w:t xml:space="preserve"> is derived in a regulatory context (e.g., derived from U.S. </w:t>
      </w:r>
      <w:r w:rsidR="00EE058A" w:rsidRPr="005D66AA">
        <w:t xml:space="preserve">Nuclear Regulatory Commission </w:t>
      </w:r>
      <w:r w:rsidRPr="005D66AA">
        <w:t>documents).</w:t>
      </w:r>
    </w:p>
    <w:p w14:paraId="37BB87FF" w14:textId="56E223C5" w:rsidR="00282FB7" w:rsidRDefault="00282FB7" w:rsidP="00282FB7">
      <w:pPr>
        <w:pStyle w:val="Heading1"/>
      </w:pPr>
      <w:r>
        <w:t>SSC OPERATIONAL CONTEXT</w:t>
      </w:r>
    </w:p>
    <w:p w14:paraId="74CBFA0F" w14:textId="3FB15878" w:rsidR="00282FB7" w:rsidRDefault="00282FB7" w:rsidP="00282FB7">
      <w:r w:rsidRPr="00282FB7">
        <w:t xml:space="preserve">Generally speaking, an SSC can be defined as two connected elements (see </w:t>
      </w:r>
      <w:r w:rsidR="005801B8">
        <w:fldChar w:fldCharType="begin"/>
      </w:r>
      <w:r w:rsidR="005801B8">
        <w:instrText xml:space="preserve"> REF _Ref188430913 \h </w:instrText>
      </w:r>
      <w:r w:rsidR="005801B8">
        <w:fldChar w:fldCharType="separate"/>
      </w:r>
      <w:r w:rsidR="00F23357">
        <w:t>Figure </w:t>
      </w:r>
      <w:r w:rsidR="00F23357">
        <w:rPr>
          <w:noProof/>
        </w:rPr>
        <w:t>1</w:t>
      </w:r>
      <w:r w:rsidR="005801B8">
        <w:fldChar w:fldCharType="end"/>
      </w:r>
      <w:r w:rsidRPr="00282FB7">
        <w:t xml:space="preserve">): its </w:t>
      </w:r>
      <w:r w:rsidRPr="00282FB7">
        <w:rPr>
          <w:i/>
          <w:iCs/>
        </w:rPr>
        <w:t>form</w:t>
      </w:r>
      <w:r w:rsidRPr="00282FB7">
        <w:t xml:space="preserve"> (i.e., the physical entity and its constituent components) and the </w:t>
      </w:r>
      <w:r w:rsidRPr="00282FB7">
        <w:rPr>
          <w:i/>
          <w:iCs/>
        </w:rPr>
        <w:t>function</w:t>
      </w:r>
      <w:r w:rsidR="005801B8">
        <w:t>(s)</w:t>
      </w:r>
      <w:r w:rsidRPr="00282FB7">
        <w:t xml:space="preserve"> it is supporting. </w:t>
      </w:r>
      <w:r w:rsidR="00F01FDD">
        <w:t>More precisely, the elements highlighted in gray precisely indicate that “form supports a function</w:t>
      </w:r>
      <w:r w:rsidR="000A04E9">
        <w:t>.”</w:t>
      </w:r>
      <w:r w:rsidR="00F01FDD">
        <w:t xml:space="preserve"> </w:t>
      </w:r>
      <w:r w:rsidRPr="00282FB7">
        <w:t xml:space="preserve">For example, when considering a centrifugal pump, the form element consists of all the components and subcomponents that make </w:t>
      </w:r>
      <w:r w:rsidRPr="00282FB7" w:rsidDel="008C41B3">
        <w:t xml:space="preserve">the </w:t>
      </w:r>
      <w:r w:rsidRPr="00282FB7">
        <w:t xml:space="preserve">pump (e.g., motor, stator, shaft, impeller), and the function element indicates the function of the pump (i.e., increase fluid pressure). Similarly, for passive components and subcomponents in a piping system, the form element consists of all pipes, junctions, and welds that are typically designed </w:t>
      </w:r>
      <w:r w:rsidR="00202A83">
        <w:t xml:space="preserve">to perform a specific function: </w:t>
      </w:r>
      <w:r w:rsidRPr="00282FB7">
        <w:t>contain</w:t>
      </w:r>
      <w:r w:rsidR="00202A83">
        <w:t xml:space="preserve"> </w:t>
      </w:r>
      <w:r w:rsidRPr="00282FB7">
        <w:t>some substance (e.g., fluid, air).</w:t>
      </w:r>
    </w:p>
    <w:p w14:paraId="23E5F66A" w14:textId="77777777" w:rsidR="005801B8" w:rsidRDefault="005801B8" w:rsidP="00DB0965">
      <w:pPr>
        <w:keepNext/>
        <w:jc w:val="center"/>
      </w:pPr>
      <w:r w:rsidRPr="00C56B74">
        <w:rPr>
          <w:noProof/>
        </w:rPr>
        <w:drawing>
          <wp:inline distT="0" distB="0" distL="0" distR="0" wp14:anchorId="3399B3D0" wp14:editId="2A940CA1">
            <wp:extent cx="5943600" cy="1627505"/>
            <wp:effectExtent l="0" t="0" r="0" b="0"/>
            <wp:docPr id="912690628" name="Picture 1"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690628" name="Picture 1" descr="Graphical user interface&#10;&#10;AI-generated content may be incorrect."/>
                    <pic:cNvPicPr/>
                  </pic:nvPicPr>
                  <pic:blipFill>
                    <a:blip r:embed="rId10"/>
                    <a:stretch>
                      <a:fillRect/>
                    </a:stretch>
                  </pic:blipFill>
                  <pic:spPr>
                    <a:xfrm>
                      <a:off x="0" y="0"/>
                      <a:ext cx="5943600" cy="1627505"/>
                    </a:xfrm>
                    <a:prstGeom prst="rect">
                      <a:avLst/>
                    </a:prstGeom>
                  </pic:spPr>
                </pic:pic>
              </a:graphicData>
            </a:graphic>
          </wp:inline>
        </w:drawing>
      </w:r>
    </w:p>
    <w:p w14:paraId="3E462428" w14:textId="0CC86D37" w:rsidR="005801B8" w:rsidRPr="00282FB7" w:rsidRDefault="005801B8" w:rsidP="00CF76DB">
      <w:pPr>
        <w:pStyle w:val="Caption"/>
      </w:pPr>
      <w:bookmarkStart w:id="0" w:name="_Ref188430913"/>
      <w:r>
        <w:t>Figure</w:t>
      </w:r>
      <w:r w:rsidR="00F23357">
        <w:t> </w:t>
      </w:r>
      <w:r>
        <w:fldChar w:fldCharType="begin"/>
      </w:r>
      <w:r>
        <w:instrText xml:space="preserve"> SEQ Figure \* ARABIC </w:instrText>
      </w:r>
      <w:r>
        <w:fldChar w:fldCharType="separate"/>
      </w:r>
      <w:r w:rsidR="00A53291">
        <w:t>1</w:t>
      </w:r>
      <w:r>
        <w:fldChar w:fldCharType="end"/>
      </w:r>
      <w:bookmarkEnd w:id="0"/>
      <w:r>
        <w:t>.</w:t>
      </w:r>
      <w:r w:rsidRPr="00282FB7">
        <w:t xml:space="preserve"> </w:t>
      </w:r>
      <w:r>
        <w:t>Representation of the relations</w:t>
      </w:r>
      <w:r w:rsidR="00493BEB">
        <w:t>hip</w:t>
      </w:r>
      <w:r>
        <w:t xml:space="preserve"> between SSC performance, montoring data, decisions</w:t>
      </w:r>
      <w:r w:rsidR="00493BEB">
        <w:t>,</w:t>
      </w:r>
      <w:r>
        <w:t xml:space="preserve"> and degradation phenomena.</w:t>
      </w:r>
    </w:p>
    <w:p w14:paraId="504517B8" w14:textId="706F18B5" w:rsidR="00282FB7" w:rsidRPr="00282FB7" w:rsidRDefault="00282FB7" w:rsidP="00282FB7">
      <w:r w:rsidRPr="00282FB7">
        <w:t xml:space="preserve">When thinking in terms of </w:t>
      </w:r>
      <w:r w:rsidR="005801B8">
        <w:t>degradation phenomena</w:t>
      </w:r>
      <w:r w:rsidRPr="00282FB7">
        <w:t xml:space="preserve"> (e.g., flow-accelerated corrosion, chemical erosion), it is relevant to note that they directly affect the form element (see </w:t>
      </w:r>
      <w:r w:rsidR="005801B8">
        <w:fldChar w:fldCharType="begin"/>
      </w:r>
      <w:r w:rsidR="005801B8">
        <w:instrText xml:space="preserve"> REF _Ref188430913 \h </w:instrText>
      </w:r>
      <w:r w:rsidR="005801B8">
        <w:fldChar w:fldCharType="separate"/>
      </w:r>
      <w:r w:rsidR="00F23357">
        <w:t>Figure </w:t>
      </w:r>
      <w:r w:rsidR="00F23357">
        <w:rPr>
          <w:noProof/>
        </w:rPr>
        <w:t>1</w:t>
      </w:r>
      <w:r w:rsidR="005801B8">
        <w:fldChar w:fldCharType="end"/>
      </w:r>
      <w:r w:rsidRPr="00282FB7">
        <w:t xml:space="preserve">), which can in turn potentially impact the element’s function (e.g., reduction of pump flow rate, fluid leak out of pipe weld). The rate of degradation caused by </w:t>
      </w:r>
      <w:r w:rsidR="005D66AA">
        <w:t>degradation phenomena</w:t>
      </w:r>
      <w:r w:rsidRPr="00282FB7">
        <w:t xml:space="preserve"> is influenced by environmental conditions (e.g., fluid chemical composition, temperature, pressure).</w:t>
      </w:r>
    </w:p>
    <w:p w14:paraId="05ABDADE" w14:textId="5813888C" w:rsidR="00282FB7" w:rsidRPr="00282FB7" w:rsidRDefault="00282FB7" w:rsidP="00282FB7">
      <w:r w:rsidRPr="00282FB7">
        <w:t xml:space="preserve">The </w:t>
      </w:r>
      <w:r w:rsidR="005D66AA" w:rsidRPr="00282FB7">
        <w:t xml:space="preserve">monitoring </w:t>
      </w:r>
      <w:r w:rsidRPr="00282FB7">
        <w:t xml:space="preserve">data collected by </w:t>
      </w:r>
      <w:r w:rsidR="005D66AA">
        <w:t>S-M-</w:t>
      </w:r>
      <w:r w:rsidR="005D66AA" w:rsidRPr="005D66AA">
        <w:t>PHM</w:t>
      </w:r>
      <w:r w:rsidR="005D66AA" w:rsidRPr="00282FB7">
        <w:t xml:space="preserve"> </w:t>
      </w:r>
      <w:r w:rsidR="005D66AA">
        <w:t xml:space="preserve">systems </w:t>
      </w:r>
      <w:r w:rsidRPr="00282FB7">
        <w:t>may</w:t>
      </w:r>
      <w:r w:rsidRPr="00282FB7" w:rsidDel="00115BB8">
        <w:t xml:space="preserve"> </w:t>
      </w:r>
      <w:r w:rsidRPr="00282FB7">
        <w:t xml:space="preserve">correspond to different elements of the diagram shown in </w:t>
      </w:r>
      <w:r w:rsidR="005D66AA">
        <w:fldChar w:fldCharType="begin"/>
      </w:r>
      <w:r w:rsidR="005D66AA">
        <w:instrText xml:space="preserve"> REF _Ref188430913 \h </w:instrText>
      </w:r>
      <w:r w:rsidR="005D66AA">
        <w:fldChar w:fldCharType="separate"/>
      </w:r>
      <w:r w:rsidR="00F23357">
        <w:t>Figure </w:t>
      </w:r>
      <w:r w:rsidR="00F23357">
        <w:rPr>
          <w:noProof/>
        </w:rPr>
        <w:t>1</w:t>
      </w:r>
      <w:r w:rsidR="005D66AA">
        <w:fldChar w:fldCharType="end"/>
      </w:r>
      <w:r w:rsidR="005D66AA">
        <w:t xml:space="preserve"> (see elements highlighted in red)</w:t>
      </w:r>
      <w:r w:rsidRPr="00282FB7">
        <w:t xml:space="preserve">. This data </w:t>
      </w:r>
      <w:r w:rsidR="005D66AA">
        <w:t>quantitatively measure</w:t>
      </w:r>
      <w:r w:rsidR="003668C4">
        <w:t>s</w:t>
      </w:r>
      <w:r w:rsidR="005D66AA">
        <w:t xml:space="preserve"> properties of degradation phenomena</w:t>
      </w:r>
      <w:r w:rsidRPr="00282FB7">
        <w:t xml:space="preserve">, </w:t>
      </w:r>
      <w:r w:rsidR="005D66AA">
        <w:t xml:space="preserve">SSC </w:t>
      </w:r>
      <w:r w:rsidRPr="00282FB7">
        <w:t xml:space="preserve">form, or </w:t>
      </w:r>
      <w:r w:rsidR="005D66AA">
        <w:t xml:space="preserve">SSC </w:t>
      </w:r>
      <w:r w:rsidRPr="00282FB7">
        <w:t xml:space="preserve">function. </w:t>
      </w:r>
      <w:r w:rsidR="003668C4">
        <w:t>Set of decisions</w:t>
      </w:r>
      <w:r w:rsidRPr="00282FB7">
        <w:t xml:space="preserve"> informed by the collected and analyzed </w:t>
      </w:r>
      <w:r w:rsidR="003668C4">
        <w:t>drive a specific set of actions (see elements highlighted in blue)</w:t>
      </w:r>
      <w:r w:rsidRPr="00282FB7">
        <w:t xml:space="preserve"> performed to improve the condition of the </w:t>
      </w:r>
      <w:r w:rsidR="003668C4">
        <w:t xml:space="preserve">SSC </w:t>
      </w:r>
      <w:r w:rsidRPr="00282FB7">
        <w:t>form, such as:</w:t>
      </w:r>
    </w:p>
    <w:p w14:paraId="2CF83524" w14:textId="77777777" w:rsidR="00282FB7" w:rsidRPr="00282FB7" w:rsidRDefault="00282FB7" w:rsidP="00DB0965">
      <w:pPr>
        <w:pStyle w:val="ListParagraph"/>
        <w:numPr>
          <w:ilvl w:val="0"/>
          <w:numId w:val="9"/>
        </w:numPr>
      </w:pPr>
      <w:r w:rsidRPr="00282FB7">
        <w:t>Maintenance activities (e.g., pump shaft replacement, pipe weld repair)</w:t>
      </w:r>
      <w:r w:rsidRPr="00282FB7" w:rsidDel="009C68C7">
        <w:t xml:space="preserve"> </w:t>
      </w:r>
      <w:r w:rsidRPr="00282FB7">
        <w:t>to restore the form of an SSC, which consequently restores its function.</w:t>
      </w:r>
    </w:p>
    <w:p w14:paraId="491B6C49" w14:textId="6AA99344" w:rsidR="00282FB7" w:rsidRPr="00282FB7" w:rsidRDefault="00282FB7" w:rsidP="00DB0965">
      <w:pPr>
        <w:pStyle w:val="ListParagraph"/>
        <w:numPr>
          <w:ilvl w:val="0"/>
          <w:numId w:val="9"/>
        </w:numPr>
      </w:pPr>
      <w:r w:rsidRPr="00282FB7">
        <w:t xml:space="preserve">Update monitoring strategy if the initial SSC degradation hypotheses are no longer valid (e.g., improve monitoring system performance, increase surveillance frequency). While this action does not affect the form of an SSC, it is intended to better inform decisions about </w:t>
      </w:r>
      <w:r w:rsidR="0037611D">
        <w:t>O&amp;M</w:t>
      </w:r>
      <w:r w:rsidRPr="00282FB7">
        <w:t xml:space="preserve"> activities.</w:t>
      </w:r>
    </w:p>
    <w:p w14:paraId="3C160DED" w14:textId="77777777" w:rsidR="00282FB7" w:rsidRDefault="00282FB7" w:rsidP="00DB0965">
      <w:pPr>
        <w:pStyle w:val="ListParagraph"/>
        <w:numPr>
          <w:ilvl w:val="0"/>
          <w:numId w:val="9"/>
        </w:numPr>
      </w:pPr>
      <w:r w:rsidRPr="00282FB7">
        <w:lastRenderedPageBreak/>
        <w:t>Update SSC lifecycle plan (e.g., periodic SSC replacement or maintenance).</w:t>
      </w:r>
    </w:p>
    <w:p w14:paraId="54233632" w14:textId="119BD6CD" w:rsidR="0014680C" w:rsidRPr="00282FB7" w:rsidRDefault="007157B7" w:rsidP="0014680C">
      <w:r w:rsidRPr="00282FB7">
        <w:t>Consequently, the relationship between data and decisions becomes integrated and iterative in nature.</w:t>
      </w:r>
      <w:r>
        <w:t xml:space="preserve"> Note that the terms SSC </w:t>
      </w:r>
      <w:r w:rsidRPr="007157B7">
        <w:rPr>
          <w:i/>
          <w:iCs/>
        </w:rPr>
        <w:t>health</w:t>
      </w:r>
      <w:r>
        <w:t xml:space="preserve"> and SSC </w:t>
      </w:r>
      <w:r w:rsidRPr="007157B7">
        <w:rPr>
          <w:i/>
          <w:iCs/>
        </w:rPr>
        <w:t>performance</w:t>
      </w:r>
      <w:r>
        <w:t xml:space="preserve"> are quantitative </w:t>
      </w:r>
      <w:r w:rsidR="00BD3FD7">
        <w:t xml:space="preserve">(i.e., deterministic) </w:t>
      </w:r>
      <w:r>
        <w:t xml:space="preserve">measures </w:t>
      </w:r>
      <w:r w:rsidR="00E33E61">
        <w:t>derived from the S-M-</w:t>
      </w:r>
      <w:r w:rsidR="00E33E61" w:rsidRPr="005D66AA">
        <w:t>PHM</w:t>
      </w:r>
      <w:r w:rsidR="00E33E61" w:rsidRPr="00282FB7">
        <w:t xml:space="preserve"> </w:t>
      </w:r>
      <w:r w:rsidR="00E33E61">
        <w:t xml:space="preserve">system and they are </w:t>
      </w:r>
      <w:r>
        <w:t>associated with SSC form and function</w:t>
      </w:r>
      <w:r w:rsidR="00533310">
        <w:t>,</w:t>
      </w:r>
      <w:r>
        <w:t xml:space="preserve"> respectively.</w:t>
      </w:r>
      <w:r w:rsidR="00BD3FD7">
        <w:t xml:space="preserve"> SSC </w:t>
      </w:r>
      <w:r w:rsidR="00BD3FD7" w:rsidRPr="00CF76DB">
        <w:rPr>
          <w:i/>
          <w:iCs/>
        </w:rPr>
        <w:t>reliability</w:t>
      </w:r>
      <w:r w:rsidR="00BD3FD7">
        <w:t xml:space="preserve"> is a probabilistic measure</w:t>
      </w:r>
      <w:r w:rsidR="00BD3FD7" w:rsidRPr="00BD3FD7">
        <w:t xml:space="preserve"> </w:t>
      </w:r>
      <w:r w:rsidR="00BD3FD7">
        <w:t>associated with SSC function.</w:t>
      </w:r>
      <w:r w:rsidR="0014680C" w:rsidRPr="0014680C">
        <w:t xml:space="preserve"> </w:t>
      </w:r>
      <w:r w:rsidR="0014680C">
        <w:t xml:space="preserve">That being said, </w:t>
      </w:r>
      <w:r w:rsidR="0014680C">
        <w:fldChar w:fldCharType="begin"/>
      </w:r>
      <w:r w:rsidR="0014680C">
        <w:instrText xml:space="preserve"> REF _Ref188430913 \h </w:instrText>
      </w:r>
      <w:r w:rsidR="0014680C">
        <w:fldChar w:fldCharType="separate"/>
      </w:r>
      <w:r w:rsidR="00F23357">
        <w:t>Figure </w:t>
      </w:r>
      <w:r w:rsidR="00F23357">
        <w:rPr>
          <w:noProof/>
        </w:rPr>
        <w:t>1</w:t>
      </w:r>
      <w:r w:rsidR="0014680C">
        <w:fldChar w:fldCharType="end"/>
      </w:r>
      <w:r w:rsidR="0014680C">
        <w:t xml:space="preserve"> </w:t>
      </w:r>
      <w:r w:rsidR="0014680C" w:rsidRPr="00282FB7" w:rsidDel="00FE2574">
        <w:t>e</w:t>
      </w:r>
      <w:r w:rsidR="0014680C" w:rsidRPr="00282FB7">
        <w:t xml:space="preserve">xplicitly shows how </w:t>
      </w:r>
      <w:r w:rsidR="00533310">
        <w:t xml:space="preserve">the </w:t>
      </w:r>
      <w:r w:rsidR="0014680C" w:rsidRPr="00282FB7">
        <w:t xml:space="preserve">SSC reliability </w:t>
      </w:r>
      <w:r w:rsidR="0014680C">
        <w:t xml:space="preserve">integral convolution of </w:t>
      </w:r>
      <w:r w:rsidR="0014680C" w:rsidRPr="00282FB7">
        <w:t>available monitoring data (including its quality and its coverage) and the decisions made based on available data.</w:t>
      </w:r>
    </w:p>
    <w:p w14:paraId="67F44A13" w14:textId="2D04A044" w:rsidR="00282FB7" w:rsidRDefault="0014680C" w:rsidP="00282FB7">
      <w:pPr>
        <w:pStyle w:val="Heading1"/>
      </w:pPr>
      <w:r>
        <w:t>SSC FAILURE</w:t>
      </w:r>
      <w:r w:rsidR="00282FB7">
        <w:t xml:space="preserve"> MODELING</w:t>
      </w:r>
    </w:p>
    <w:p w14:paraId="7B7ABF2D" w14:textId="7906805B" w:rsidR="00282FB7" w:rsidRPr="00282FB7" w:rsidRDefault="00282FB7" w:rsidP="00282FB7">
      <w:r w:rsidRPr="00282FB7">
        <w:t xml:space="preserve">Using physics-based considerations, an undesired SSC event (e.g., SSC failure) can be considered an outcome resulting from the SSC microscopic structure (i.e., the </w:t>
      </w:r>
      <w:r w:rsidRPr="00282FB7">
        <w:rPr>
          <w:i/>
          <w:iCs/>
        </w:rPr>
        <w:t>capacity</w:t>
      </w:r>
      <w:r w:rsidRPr="00282FB7">
        <w:t xml:space="preserve">) not being able to withstand stress (i.e., the </w:t>
      </w:r>
      <w:r w:rsidRPr="00282FB7">
        <w:rPr>
          <w:i/>
          <w:iCs/>
        </w:rPr>
        <w:t>load</w:t>
      </w:r>
      <w:r w:rsidRPr="00282FB7">
        <w:t>) imposed by operating conditions, either normal or abnormal. While this statement has been phrased in very generic terms, it can be expanded with more details depending on the SSC operational context using mechanical, chemical, nuclear, or electrical arguments. This supports the main argument that SSC failure is the product of deterministic (i.e., physics</w:t>
      </w:r>
      <w:r w:rsidR="00A53291">
        <w:t xml:space="preserve"> </w:t>
      </w:r>
      <w:r w:rsidRPr="00282FB7">
        <w:t xml:space="preserve">based) phenomena. This load vs. capacity argumentation is graphically represented in </w:t>
      </w:r>
      <w:r w:rsidR="00F23357">
        <w:fldChar w:fldCharType="begin"/>
      </w:r>
      <w:r w:rsidR="00F23357">
        <w:instrText xml:space="preserve"> REF _Ref189046766 \h </w:instrText>
      </w:r>
      <w:r w:rsidR="00F23357">
        <w:fldChar w:fldCharType="separate"/>
      </w:r>
      <w:r w:rsidR="00F23357">
        <w:t>Figure </w:t>
      </w:r>
      <w:r w:rsidR="00F23357">
        <w:rPr>
          <w:noProof/>
        </w:rPr>
        <w:t>2</w:t>
      </w:r>
      <w:r w:rsidR="00F23357">
        <w:fldChar w:fldCharType="end"/>
      </w:r>
      <w:r w:rsidRPr="00282FB7">
        <w:t xml:space="preserve"> where load and capacity are represented using probabilistic distribution functions (pdfs</w:t>
      </w:r>
      <w:r w:rsidRPr="00282FB7" w:rsidDel="001F1AAA">
        <w:t>)</w:t>
      </w:r>
      <w:r w:rsidRPr="00282FB7">
        <w:t>. When the load exceeds capacity, there is a chance for failure</w:t>
      </w:r>
      <w:r w:rsidR="001C6618">
        <w:t xml:space="preserve"> (see</w:t>
      </w:r>
      <w:r w:rsidRPr="00282FB7">
        <w:t xml:space="preserve"> </w:t>
      </w:r>
      <w:r w:rsidR="00533310">
        <w:t xml:space="preserve">the </w:t>
      </w:r>
      <w:r w:rsidRPr="00282FB7">
        <w:t>area under the intersection of the two probability curves</w:t>
      </w:r>
      <w:r w:rsidR="001C6618">
        <w:t>)</w:t>
      </w:r>
      <w:r w:rsidRPr="00282FB7">
        <w:t xml:space="preserve">. Note that load and capacity could be represented as point values (rather than probabilistic distribution functions) and similar reasoning applies—when the load exceeds capacity, SSC failure </w:t>
      </w:r>
      <w:r w:rsidR="00E33E61">
        <w:t>is</w:t>
      </w:r>
      <w:r w:rsidRPr="00282FB7">
        <w:t xml:space="preserve"> expected. In the case of point values, there is no probabilistic value describing a failure, rather the notion is failure is essentially guaranteed when the load exceeds capacity.</w:t>
      </w:r>
    </w:p>
    <w:p w14:paraId="2F051989" w14:textId="3A17D885" w:rsidR="00282FB7" w:rsidRPr="00282FB7" w:rsidRDefault="00282FB7" w:rsidP="00282FB7">
      <w:r w:rsidRPr="00282FB7">
        <w:t>Following the postulation of failure phenomenon, the opposite exists;</w:t>
      </w:r>
      <w:r w:rsidRPr="00282FB7" w:rsidDel="00A20929">
        <w:t xml:space="preserve"> </w:t>
      </w:r>
      <w:r w:rsidRPr="00282FB7">
        <w:t xml:space="preserve">when load and capacity curves do not overlap, SSC failure cannot occur (top of </w:t>
      </w:r>
      <w:r w:rsidR="00F23357">
        <w:fldChar w:fldCharType="begin"/>
      </w:r>
      <w:r w:rsidR="00F23357">
        <w:instrText xml:space="preserve"> REF _Ref189046766 \h </w:instrText>
      </w:r>
      <w:r w:rsidR="00F23357">
        <w:fldChar w:fldCharType="separate"/>
      </w:r>
      <w:r w:rsidR="00F23357">
        <w:t>Figure </w:t>
      </w:r>
      <w:r w:rsidR="00F23357">
        <w:rPr>
          <w:noProof/>
        </w:rPr>
        <w:t>2</w:t>
      </w:r>
      <w:r w:rsidR="00F23357">
        <w:fldChar w:fldCharType="end"/>
      </w:r>
      <w:r w:rsidRPr="00282FB7">
        <w:t xml:space="preserve">). SSC degradation over time causes the capacity curve to decay (i.e., move to the left), and when load and capacity curves overlap, SSC failure may be expected (bottom of </w:t>
      </w:r>
      <w:r w:rsidR="00F23357">
        <w:fldChar w:fldCharType="begin"/>
      </w:r>
      <w:r w:rsidR="00F23357">
        <w:instrText xml:space="preserve"> REF _Ref189046766 \h </w:instrText>
      </w:r>
      <w:r w:rsidR="00F23357">
        <w:fldChar w:fldCharType="separate"/>
      </w:r>
      <w:r w:rsidR="00F23357">
        <w:t>Figure </w:t>
      </w:r>
      <w:r w:rsidR="00F23357">
        <w:rPr>
          <w:noProof/>
        </w:rPr>
        <w:t>2</w:t>
      </w:r>
      <w:r w:rsidR="00F23357">
        <w:fldChar w:fldCharType="end"/>
      </w:r>
      <w:r w:rsidRPr="00282FB7">
        <w:t>).</w:t>
      </w:r>
    </w:p>
    <w:p w14:paraId="68B1414B" w14:textId="77777777" w:rsidR="00941EE4" w:rsidRDefault="00282FB7" w:rsidP="00C56B74">
      <w:pPr>
        <w:keepNext/>
        <w:jc w:val="center"/>
      </w:pPr>
      <w:r w:rsidRPr="00282FB7">
        <w:rPr>
          <w:noProof/>
        </w:rPr>
        <w:drawing>
          <wp:inline distT="0" distB="0" distL="0" distR="0" wp14:anchorId="36C09260" wp14:editId="7E6A6E6F">
            <wp:extent cx="2301780" cy="2172970"/>
            <wp:effectExtent l="0" t="0" r="0" b="0"/>
            <wp:docPr id="234835940"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835940" name="Picture 1" descr="A picture containing text&#10;&#10;Description automatically generated"/>
                    <pic:cNvPicPr/>
                  </pic:nvPicPr>
                  <pic:blipFill>
                    <a:blip r:embed="rId11"/>
                    <a:stretch>
                      <a:fillRect/>
                    </a:stretch>
                  </pic:blipFill>
                  <pic:spPr>
                    <a:xfrm>
                      <a:off x="0" y="0"/>
                      <a:ext cx="2356319" cy="2224457"/>
                    </a:xfrm>
                    <a:prstGeom prst="rect">
                      <a:avLst/>
                    </a:prstGeom>
                  </pic:spPr>
                </pic:pic>
              </a:graphicData>
            </a:graphic>
          </wp:inline>
        </w:drawing>
      </w:r>
    </w:p>
    <w:p w14:paraId="3C65BB48" w14:textId="4D1BCF16" w:rsidR="00282FB7" w:rsidRDefault="00941EE4" w:rsidP="00C56B74">
      <w:pPr>
        <w:pStyle w:val="Caption"/>
        <w:rPr>
          <w:bCs/>
        </w:rPr>
      </w:pPr>
      <w:bookmarkStart w:id="1" w:name="_Ref189046766"/>
      <w:r>
        <w:t>Figure</w:t>
      </w:r>
      <w:r w:rsidR="00F23357">
        <w:t> </w:t>
      </w:r>
      <w:r>
        <w:fldChar w:fldCharType="begin"/>
      </w:r>
      <w:r>
        <w:instrText xml:space="preserve"> SEQ Figure \* ARABIC </w:instrText>
      </w:r>
      <w:r>
        <w:fldChar w:fldCharType="separate"/>
      </w:r>
      <w:r w:rsidR="00A53291">
        <w:t>2</w:t>
      </w:r>
      <w:r>
        <w:fldChar w:fldCharType="end"/>
      </w:r>
      <w:bookmarkStart w:id="2" w:name="_Toc162617560"/>
      <w:bookmarkEnd w:id="1"/>
      <w:r>
        <w:t>.</w:t>
      </w:r>
      <w:r w:rsidR="00282FB7" w:rsidRPr="00282FB7">
        <w:rPr>
          <w:bCs/>
        </w:rPr>
        <w:t xml:space="preserve"> SSC failure represented in terms of load and capacity.</w:t>
      </w:r>
      <w:bookmarkEnd w:id="2"/>
    </w:p>
    <w:p w14:paraId="70CED005" w14:textId="6B9A2049" w:rsidR="00CF76DB" w:rsidRDefault="00CF76DB" w:rsidP="00CF76DB">
      <w:pPr>
        <w:pStyle w:val="Heading1"/>
      </w:pPr>
      <w:bookmarkStart w:id="3" w:name="_Toc162617536"/>
      <w:r w:rsidRPr="00EA356B">
        <w:t>CORRELATI</w:t>
      </w:r>
      <w:r>
        <w:t>NG</w:t>
      </w:r>
      <w:r w:rsidRPr="00EA356B">
        <w:t xml:space="preserve"> </w:t>
      </w:r>
      <w:r w:rsidR="00533310">
        <w:t xml:space="preserve">SSC </w:t>
      </w:r>
      <w:r w:rsidRPr="00EA356B">
        <w:t>PERFORMANCE</w:t>
      </w:r>
      <w:bookmarkEnd w:id="3"/>
      <w:r>
        <w:t>, HEALTH, AND RELIABILITY</w:t>
      </w:r>
    </w:p>
    <w:p w14:paraId="490F5351" w14:textId="5F308C88" w:rsidR="00CF76DB" w:rsidRPr="00EA356B" w:rsidRDefault="00CF76DB" w:rsidP="00CF76DB">
      <w:r w:rsidRPr="00EA356B">
        <w:t xml:space="preserve">An initial challenge with correlating </w:t>
      </w:r>
      <w:r>
        <w:t xml:space="preserve">SSC </w:t>
      </w:r>
      <w:r w:rsidRPr="00EA356B">
        <w:t>performance</w:t>
      </w:r>
      <w:r>
        <w:t>, health,</w:t>
      </w:r>
      <w:r w:rsidRPr="00EA356B">
        <w:t xml:space="preserve"> </w:t>
      </w:r>
      <w:r>
        <w:t>and</w:t>
      </w:r>
      <w:r w:rsidRPr="00EA356B">
        <w:t xml:space="preserve"> reliability is that the performance</w:t>
      </w:r>
      <w:r w:rsidR="002C2CDB">
        <w:t xml:space="preserve"> and </w:t>
      </w:r>
      <w:r>
        <w:t>health</w:t>
      </w:r>
      <w:r w:rsidRPr="00EA356B">
        <w:t xml:space="preserve"> monitoring of the component entails </w:t>
      </w:r>
      <w:r w:rsidR="000675D3">
        <w:t>observing</w:t>
      </w:r>
      <w:r w:rsidRPr="00EA356B">
        <w:t xml:space="preserve"> a physical condition, which may not directly confirm that the reliability target is being achieved. To compound the challenge, observing an unexpected component condition may not necessarily indicate a performance concern, meaning that interim criteria </w:t>
      </w:r>
      <w:r w:rsidRPr="00EA356B">
        <w:lastRenderedPageBreak/>
        <w:t>should be established for the owner to act without necessitating a heightened level that prompts a regulatory concern (sometimes referred to as an alert level).</w:t>
      </w:r>
    </w:p>
    <w:p w14:paraId="6BFC1BDF" w14:textId="45337D11" w:rsidR="00CF76DB" w:rsidRPr="00EA356B" w:rsidRDefault="00CF76DB" w:rsidP="00CF76DB">
      <w:r w:rsidRPr="00EA356B">
        <w:t>To</w:t>
      </w:r>
      <w:r w:rsidRPr="00EA356B" w:rsidDel="00F447D3">
        <w:t xml:space="preserve"> </w:t>
      </w:r>
      <w:r w:rsidRPr="00EA356B">
        <w:t xml:space="preserve">illustrate this issue, a </w:t>
      </w:r>
      <w:r>
        <w:t>S-M-PHM</w:t>
      </w:r>
      <w:r w:rsidRPr="00EA356B">
        <w:t xml:space="preserve"> strategy may establish an observation </w:t>
      </w:r>
      <w:r>
        <w:t>of</w:t>
      </w:r>
      <w:r w:rsidRPr="00EA356B">
        <w:t xml:space="preserve"> a material condition (which is represented in </w:t>
      </w:r>
      <w:r>
        <w:fldChar w:fldCharType="begin"/>
      </w:r>
      <w:r>
        <w:instrText xml:space="preserve"> REF _Ref188458506 \h </w:instrText>
      </w:r>
      <w:r>
        <w:fldChar w:fldCharType="separate"/>
      </w:r>
      <w:r w:rsidR="00F23357">
        <w:t>Figure </w:t>
      </w:r>
      <w:r w:rsidR="00F23357">
        <w:rPr>
          <w:noProof/>
        </w:rPr>
        <w:t>3</w:t>
      </w:r>
      <w:r>
        <w:fldChar w:fldCharType="end"/>
      </w:r>
      <w:r>
        <w:t xml:space="preserve"> </w:t>
      </w:r>
      <w:r w:rsidRPr="00EA356B">
        <w:t>in terms of crack size)</w:t>
      </w:r>
      <w:r>
        <w:t xml:space="preserve">, </w:t>
      </w:r>
      <w:r w:rsidR="000675D3">
        <w:t>such as</w:t>
      </w:r>
      <w:r>
        <w:t xml:space="preserve"> its health (identical argumentation applies if the SSC performance is </w:t>
      </w:r>
      <w:r w:rsidR="000675D3">
        <w:t>examined</w:t>
      </w:r>
      <w:r>
        <w:t>)</w:t>
      </w:r>
      <w:r w:rsidRPr="00EA356B">
        <w:t xml:space="preserve">. The expected crack size (an observable condition) can be expressed as a function of time. The bridge between observed data and SSC reliability is provided in terms of load vs. capacity (see Section </w:t>
      </w:r>
      <w:r>
        <w:t>3</w:t>
      </w:r>
      <w:r w:rsidRPr="00EA356B">
        <w:t xml:space="preserve">) where deterministic and probabilistic considerations are used to assess how likely it is that the load will exceed capacity. Note that such considerations can also be framed in terms of margins, which also highlights that safety margins (e.g., imposed by codes or standards) might provide further SSC </w:t>
      </w:r>
      <w:r>
        <w:t>performance</w:t>
      </w:r>
      <w:r w:rsidRPr="00EA356B">
        <w:t xml:space="preserve"> assurance.</w:t>
      </w:r>
    </w:p>
    <w:p w14:paraId="41C624DC" w14:textId="6351D8FA" w:rsidR="00CF76DB" w:rsidRPr="00EA356B" w:rsidRDefault="00CF76DB" w:rsidP="00CF76DB">
      <w:r w:rsidRPr="00EA356B">
        <w:t>From a</w:t>
      </w:r>
      <w:r>
        <w:t xml:space="preserve">n O&amp;M </w:t>
      </w:r>
      <w:r w:rsidRPr="00EA356B">
        <w:t xml:space="preserve">point of view, decision makers might be interested in assessing how degradation phenomena evolve with time and comparing </w:t>
      </w:r>
      <w:r w:rsidR="009E3D39">
        <w:t>them</w:t>
      </w:r>
      <w:r w:rsidR="009E3D39" w:rsidRPr="00EA356B">
        <w:t xml:space="preserve"> </w:t>
      </w:r>
      <w:r w:rsidRPr="00EA356B">
        <w:t>with past operational data. When an observed condition does not follow trends based on past operational data, such a condition is simply unexpected, and unless it is at a level of unacceptable degradation, the owner must first act to further understand the basis for being outside of the expected range and plan for recovery strategies (e.g., a reduced SSC lifetime).</w:t>
      </w:r>
    </w:p>
    <w:p w14:paraId="6980E682" w14:textId="77777777" w:rsidR="00CF76DB" w:rsidRDefault="00CF76DB" w:rsidP="00CF76DB">
      <w:pPr>
        <w:keepNext/>
      </w:pPr>
      <w:r w:rsidRPr="00EA356B">
        <w:rPr>
          <w:noProof/>
        </w:rPr>
        <w:drawing>
          <wp:inline distT="0" distB="0" distL="0" distR="0" wp14:anchorId="5386F4A2" wp14:editId="7B63C609">
            <wp:extent cx="5943600" cy="2178050"/>
            <wp:effectExtent l="0" t="0" r="0" b="0"/>
            <wp:docPr id="807380266"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380266" name="Picture 1" descr="Graphical user interface&#10;&#10;Description automatically generated"/>
                    <pic:cNvPicPr/>
                  </pic:nvPicPr>
                  <pic:blipFill>
                    <a:blip r:embed="rId12"/>
                    <a:stretch>
                      <a:fillRect/>
                    </a:stretch>
                  </pic:blipFill>
                  <pic:spPr>
                    <a:xfrm>
                      <a:off x="0" y="0"/>
                      <a:ext cx="5943600" cy="2178050"/>
                    </a:xfrm>
                    <a:prstGeom prst="rect">
                      <a:avLst/>
                    </a:prstGeom>
                  </pic:spPr>
                </pic:pic>
              </a:graphicData>
            </a:graphic>
          </wp:inline>
        </w:drawing>
      </w:r>
    </w:p>
    <w:p w14:paraId="1117FA39" w14:textId="2A53AE05" w:rsidR="00CF76DB" w:rsidRPr="00EA356B" w:rsidRDefault="00CF76DB" w:rsidP="00CF76DB">
      <w:pPr>
        <w:pStyle w:val="Caption"/>
        <w:rPr>
          <w:bCs/>
        </w:rPr>
      </w:pPr>
      <w:bookmarkStart w:id="4" w:name="_Ref188458506"/>
      <w:r>
        <w:t>Figure</w:t>
      </w:r>
      <w:r w:rsidR="00F23357">
        <w:t> </w:t>
      </w:r>
      <w:r>
        <w:fldChar w:fldCharType="begin"/>
      </w:r>
      <w:r>
        <w:instrText xml:space="preserve"> SEQ Figure \* ARABIC </w:instrText>
      </w:r>
      <w:r>
        <w:fldChar w:fldCharType="separate"/>
      </w:r>
      <w:r w:rsidR="00A53291">
        <w:t>3</w:t>
      </w:r>
      <w:r>
        <w:fldChar w:fldCharType="end"/>
      </w:r>
      <w:bookmarkStart w:id="5" w:name="_Toc162617568"/>
      <w:bookmarkEnd w:id="4"/>
      <w:r>
        <w:t>.</w:t>
      </w:r>
      <w:r w:rsidRPr="00EA356B">
        <w:rPr>
          <w:bCs/>
        </w:rPr>
        <w:t xml:space="preserve"> SSC reliability assessment based on observable data (i.e., crack size).</w:t>
      </w:r>
      <w:bookmarkEnd w:id="5"/>
    </w:p>
    <w:p w14:paraId="5FE70CE2" w14:textId="51607A8F" w:rsidR="00CF76DB" w:rsidRPr="00EA356B" w:rsidRDefault="00CF76DB" w:rsidP="00CF76DB">
      <w:r>
        <w:fldChar w:fldCharType="begin"/>
      </w:r>
      <w:r>
        <w:instrText xml:space="preserve"> REF _Ref188458506 \h </w:instrText>
      </w:r>
      <w:r>
        <w:fldChar w:fldCharType="separate"/>
      </w:r>
      <w:r w:rsidR="00F23357">
        <w:t>Figure </w:t>
      </w:r>
      <w:r w:rsidR="00F23357">
        <w:rPr>
          <w:noProof/>
        </w:rPr>
        <w:t>3</w:t>
      </w:r>
      <w:r>
        <w:fldChar w:fldCharType="end"/>
      </w:r>
      <w:r>
        <w:t xml:space="preserve"> </w:t>
      </w:r>
      <w:r w:rsidRPr="00EA356B">
        <w:t xml:space="preserve">supports the fact that an observable condition may not be a safety concern if it is outside of the expected condition. This is important because a new reactor design may have limited operational experience and could have early operating data where the condition is outside of the expected region, including conditions below the expected degradation. This potential may be recognized by the </w:t>
      </w:r>
      <w:r>
        <w:t>plant O&amp;M</w:t>
      </w:r>
      <w:r w:rsidRPr="00EA356B">
        <w:t xml:space="preserve"> </w:t>
      </w:r>
      <w:r>
        <w:t>p</w:t>
      </w:r>
      <w:r w:rsidRPr="00EA356B">
        <w:t xml:space="preserve">rogram by conducting the monitoring activity on a more frequent basis early in </w:t>
      </w:r>
      <w:r w:rsidR="00C2601A">
        <w:t xml:space="preserve">the </w:t>
      </w:r>
      <w:r w:rsidRPr="00EA356B">
        <w:t>plant</w:t>
      </w:r>
      <w:r w:rsidR="00C2601A">
        <w:t>’s</w:t>
      </w:r>
      <w:r w:rsidRPr="00EA356B">
        <w:t xml:space="preserve"> operation and then less frequently as the observed condition is confirmed to be as, or better, than expected.</w:t>
      </w:r>
    </w:p>
    <w:p w14:paraId="3DE63270" w14:textId="55FDECEC" w:rsidR="00CF76DB" w:rsidRPr="00EA356B" w:rsidRDefault="00CF76DB" w:rsidP="00CF76DB">
      <w:r w:rsidRPr="00EA356B">
        <w:t>Note that the data provided by a monitoring system is often affected by uncertainties, which may have an impact on the actual reliability value being compared to the target reliability. In this respect,</w:t>
      </w:r>
      <w:r w:rsidRPr="00EA356B" w:rsidDel="00C70024">
        <w:t xml:space="preserve"> da</w:t>
      </w:r>
      <w:r w:rsidRPr="00EA356B">
        <w:t>ta uncertainties in the measurement system (represented as a probabilistic distribution function) can be factored into the decision process using a load vs. capacity argument.</w:t>
      </w:r>
    </w:p>
    <w:p w14:paraId="4329C196" w14:textId="09770E7A" w:rsidR="00CF76DB" w:rsidRPr="00EA356B" w:rsidRDefault="00CF76DB" w:rsidP="00CF76DB">
      <w:r w:rsidRPr="00EA356B">
        <w:t xml:space="preserve">The scenario is different when the monitoring system can detect the presence of a flaw but is not able to characterize it (e.g., its three-dimensional size). Such data cannot be represented as a data point and would not provide enough knowledge to precisely </w:t>
      </w:r>
      <w:r w:rsidR="00C2601A">
        <w:t>inform an</w:t>
      </w:r>
      <w:r w:rsidRPr="00EA356B">
        <w:t xml:space="preserve"> </w:t>
      </w:r>
      <w:r>
        <w:t>O&amp;M</w:t>
      </w:r>
      <w:r w:rsidRPr="00EA356B">
        <w:t xml:space="preserve"> strategy. In such cases, the best engineering practices should be followed.</w:t>
      </w:r>
    </w:p>
    <w:p w14:paraId="33F47B99" w14:textId="510FFA10" w:rsidR="00CF76DB" w:rsidRPr="00EA356B" w:rsidRDefault="00CF76DB" w:rsidP="00CF76DB">
      <w:r w:rsidRPr="00EA356B">
        <w:t>Many advanced reactors have lower overall risks</w:t>
      </w:r>
      <w:r w:rsidR="00202A83">
        <w:t>, but their</w:t>
      </w:r>
      <w:r w:rsidRPr="00EA356B">
        <w:t xml:space="preserve"> designs may have limited accessibility to many</w:t>
      </w:r>
      <w:r w:rsidRPr="00EA356B" w:rsidDel="00E970E9">
        <w:t xml:space="preserve"> </w:t>
      </w:r>
      <w:r w:rsidRPr="00EA356B">
        <w:t xml:space="preserve">locations where direct examinations (e.g., ultrasonic testing or visual examinations) are necessary. Therefore, advanced reactors are expected to rely more on indirect monitoring for system parameters that </w:t>
      </w:r>
      <w:r w:rsidRPr="00EA356B">
        <w:lastRenderedPageBreak/>
        <w:t>lead to degradation and, to the extent practical, may include more advanced continuous monitoring techniques.</w:t>
      </w:r>
    </w:p>
    <w:p w14:paraId="24872CCF" w14:textId="6CDA3F84" w:rsidR="00CF76DB" w:rsidRPr="00282FB7" w:rsidRDefault="00CF76DB" w:rsidP="00CF76DB">
      <w:r w:rsidRPr="00EA356B">
        <w:t xml:space="preserve">The basis for how a monitoring approach ensures adequate performance must address the ability to detect degradation. The ability to detect degradation is dependent on the attributes for monitoring. Instrumentation and sensors used for continuous monitoring require demonstrating equipment accuracy as well as demonstrating that monitoring location(s) are </w:t>
      </w:r>
      <w:r w:rsidR="00E33E61" w:rsidRPr="00EA356B">
        <w:t>appropriate,</w:t>
      </w:r>
      <w:r w:rsidRPr="00EA356B">
        <w:t xml:space="preserve"> and the sample size is sufficient to detect degradation and would allow the owner to determine the next action based on the identified condition.</w:t>
      </w:r>
    </w:p>
    <w:p w14:paraId="2F331C0D" w14:textId="7E88288E" w:rsidR="0014680C" w:rsidRPr="0014680C" w:rsidRDefault="0014680C" w:rsidP="0014680C">
      <w:pPr>
        <w:pStyle w:val="Heading1"/>
      </w:pPr>
      <w:r w:rsidRPr="0014680C">
        <w:t>SSC S-M-PHM RELIABILITY MODELING</w:t>
      </w:r>
    </w:p>
    <w:p w14:paraId="25CE85A9" w14:textId="05DF542F" w:rsidR="00282FB7" w:rsidRDefault="00366B03" w:rsidP="00282FB7">
      <w:r>
        <w:t>From Section 4, we argue that deterministic information generated by the S-M-</w:t>
      </w:r>
      <w:r w:rsidRPr="005D66AA">
        <w:t>PHM</w:t>
      </w:r>
      <w:r>
        <w:t xml:space="preserve"> system can provide quantitative information about SSC health and performance. Thus, does it make sense to think in terms of SSC failure rate or failure probability (i.e., which are stochastic in nature)? </w:t>
      </w:r>
      <w:r w:rsidR="00282FB7" w:rsidRPr="00282FB7">
        <w:t>The transition from deterministic (i.e., physics</w:t>
      </w:r>
      <w:r w:rsidR="00A53291">
        <w:t xml:space="preserve"> based</w:t>
      </w:r>
      <w:r w:rsidR="00282FB7" w:rsidRPr="00282FB7">
        <w:t xml:space="preserve">) to </w:t>
      </w:r>
      <w:r>
        <w:t>stochastic</w:t>
      </w:r>
      <w:r w:rsidR="00282FB7" w:rsidRPr="00282FB7">
        <w:t xml:space="preserve"> arguments</w:t>
      </w:r>
      <w:r w:rsidR="007157B7">
        <w:t xml:space="preserve"> of SSC failure</w:t>
      </w:r>
      <w:r w:rsidR="00282FB7" w:rsidRPr="00282FB7">
        <w:t xml:space="preserve"> is </w:t>
      </w:r>
      <w:r w:rsidR="007157B7">
        <w:t>here described by u</w:t>
      </w:r>
      <w:r w:rsidR="0014680C">
        <w:t>s</w:t>
      </w:r>
      <w:r w:rsidR="007157B7">
        <w:t>ing these extreme situations:</w:t>
      </w:r>
    </w:p>
    <w:p w14:paraId="49BEC42B" w14:textId="63AD3B81" w:rsidR="007157B7" w:rsidRPr="00EA356B" w:rsidRDefault="007157B7" w:rsidP="004D7781">
      <w:pPr>
        <w:pStyle w:val="ListParagraph"/>
        <w:numPr>
          <w:ilvl w:val="0"/>
          <w:numId w:val="10"/>
        </w:numPr>
        <w:ind w:left="720"/>
      </w:pPr>
      <w:r w:rsidRPr="00EA356B">
        <w:t xml:space="preserve">No knowledge about SSC performance </w:t>
      </w:r>
      <w:r>
        <w:t xml:space="preserve">or health </w:t>
      </w:r>
      <w:r w:rsidRPr="00EA356B">
        <w:t xml:space="preserve">(i.e., no monitoring data). In this scenario, SSC reliability is </w:t>
      </w:r>
      <w:r w:rsidR="00074C7C" w:rsidRPr="00EA356B">
        <w:t>measure</w:t>
      </w:r>
      <w:r w:rsidR="00C2601A">
        <w:t>d</w:t>
      </w:r>
      <w:r w:rsidR="00074C7C" w:rsidRPr="00EA356B">
        <w:t xml:space="preserve"> </w:t>
      </w:r>
      <w:r w:rsidRPr="00EA356B">
        <w:t>probabilistic</w:t>
      </w:r>
      <w:r w:rsidR="00074C7C">
        <w:t>ally</w:t>
      </w:r>
      <w:r w:rsidRPr="00EA356B">
        <w:t xml:space="preserve"> based on observed historical tested performance</w:t>
      </w:r>
      <w:r w:rsidR="00074C7C">
        <w:t xml:space="preserve"> (e.g., </w:t>
      </w:r>
      <w:r w:rsidR="00A72100">
        <w:t xml:space="preserve">the </w:t>
      </w:r>
      <w:r w:rsidR="00074C7C">
        <w:t xml:space="preserve">number of failures occurred within a time interval </w:t>
      </w:r>
      <w:r w:rsidR="00A72100">
        <w:t xml:space="preserve">for </w:t>
      </w:r>
      <w:r w:rsidR="00074C7C">
        <w:t>a population of similar SSCs)</w:t>
      </w:r>
      <w:r w:rsidRPr="00EA356B">
        <w:t>.</w:t>
      </w:r>
    </w:p>
    <w:p w14:paraId="36788528" w14:textId="1717C2B1" w:rsidR="007157B7" w:rsidRPr="00EA356B" w:rsidRDefault="007157B7" w:rsidP="004D7781">
      <w:pPr>
        <w:pStyle w:val="ListParagraph"/>
        <w:numPr>
          <w:ilvl w:val="0"/>
          <w:numId w:val="10"/>
        </w:numPr>
        <w:ind w:left="720"/>
      </w:pPr>
      <w:r w:rsidRPr="00EA356B">
        <w:t>Complete knowledge about SSC performance</w:t>
      </w:r>
      <w:r w:rsidR="00074C7C">
        <w:t xml:space="preserve"> or health</w:t>
      </w:r>
      <w:r w:rsidRPr="00EA356B">
        <w:t xml:space="preserve">. This hypothetical scenario assumes that available monitoring data provides a continuous and complete understanding of the degradation phenomena that leads to the occurrence of an undesired event. In addition, it is also assumed that the SSC can be rapidly restored (compared to </w:t>
      </w:r>
      <w:r w:rsidR="00A72100">
        <w:t xml:space="preserve">the </w:t>
      </w:r>
      <w:r w:rsidRPr="00EA356B">
        <w:t xml:space="preserve">degradation phenomena progression rate) once degradation is observed. Under these circumstances, an undesired SSC event cannot occur </w:t>
      </w:r>
      <w:r w:rsidRPr="004D7781">
        <w:t>(</w:t>
      </w:r>
      <w:r w:rsidRPr="00EA356B">
        <w:t>i.e., SSC reliability is 1.0</w:t>
      </w:r>
      <w:r w:rsidRPr="004D7781">
        <w:t>).</w:t>
      </w:r>
    </w:p>
    <w:p w14:paraId="489919B6" w14:textId="54EB8C55" w:rsidR="007157B7" w:rsidRPr="00EA356B" w:rsidRDefault="007157B7" w:rsidP="007157B7">
      <w:r w:rsidRPr="00EA356B">
        <w:t>Because these are extremes, it is</w:t>
      </w:r>
      <w:r w:rsidR="009E0826">
        <w:t xml:space="preserve"> here</w:t>
      </w:r>
      <w:r w:rsidRPr="00EA356B">
        <w:t xml:space="preserve"> recognized that an SSC subject to a</w:t>
      </w:r>
      <w:r w:rsidR="00A72100">
        <w:t>n</w:t>
      </w:r>
      <w:r w:rsidRPr="00EA356B">
        <w:t xml:space="preserve"> </w:t>
      </w:r>
      <w:r w:rsidR="00074C7C">
        <w:t>S-M-</w:t>
      </w:r>
      <w:r w:rsidR="00074C7C" w:rsidRPr="005D66AA">
        <w:t>PHM</w:t>
      </w:r>
      <w:r w:rsidR="00074C7C" w:rsidRPr="00282FB7">
        <w:t xml:space="preserve"> </w:t>
      </w:r>
      <w:r w:rsidRPr="00EA356B">
        <w:t xml:space="preserve">strategy </w:t>
      </w:r>
      <w:r w:rsidR="00A72100">
        <w:t>has</w:t>
      </w:r>
      <w:r w:rsidR="00A72100" w:rsidRPr="00EA356B">
        <w:t xml:space="preserve"> </w:t>
      </w:r>
      <w:r w:rsidRPr="00EA356B">
        <w:t xml:space="preserve">some monitoring data (not precise, nor complete) that shows that SSC </w:t>
      </w:r>
      <w:r w:rsidR="004B2610">
        <w:t>health</w:t>
      </w:r>
      <w:r w:rsidR="00A72100">
        <w:t xml:space="preserve"> and </w:t>
      </w:r>
      <w:r w:rsidRPr="00EA356B">
        <w:t xml:space="preserve">performance lie between the two extreme situations listed above and </w:t>
      </w:r>
      <w:r w:rsidR="00A72100">
        <w:t>has</w:t>
      </w:r>
      <w:r w:rsidR="00A72100" w:rsidRPr="00EA356B">
        <w:t xml:space="preserve"> </w:t>
      </w:r>
      <w:r w:rsidRPr="00EA356B">
        <w:t>a direct impact on how to model SSC reliability. As indicated in Section 2, the combination of monitoring data, decisions, and actions implies that SSC degradation has a deterministic (also referred as performance based) aspect while still having an aleatory aspect</w:t>
      </w:r>
      <w:r w:rsidRPr="00EA356B" w:rsidDel="008C6EDD">
        <w:t xml:space="preserve"> </w:t>
      </w:r>
      <w:r w:rsidRPr="00EA356B">
        <w:t>to its performance. In fact, when degradation phenomena are observed, characterized, and tracked, physics-based considerations (through experimental and past operational data) can be used to assess the</w:t>
      </w:r>
      <w:r w:rsidR="0067079C">
        <w:t>ir</w:t>
      </w:r>
      <w:r w:rsidRPr="00EA356B">
        <w:t xml:space="preserve"> evolution and evaluate the likelihood of SSC failure based on the previously introduced load vs. capacity arguments. Based on this knowledge, appropriate proactive </w:t>
      </w:r>
      <w:r w:rsidR="00366B03">
        <w:t xml:space="preserve">O&amp;M </w:t>
      </w:r>
      <w:r w:rsidRPr="00EA356B">
        <w:t>actions are taken to avoid SSC failure.</w:t>
      </w:r>
    </w:p>
    <w:p w14:paraId="6C4D5D95" w14:textId="7FB78038" w:rsidR="009E0826" w:rsidRPr="00282FB7" w:rsidRDefault="007157B7" w:rsidP="009E0826">
      <w:r w:rsidRPr="00EA356B">
        <w:t>Thus, from these considerations</w:t>
      </w:r>
      <w:r w:rsidR="0067079C">
        <w:t>,</w:t>
      </w:r>
      <w:r w:rsidRPr="00EA356B">
        <w:t xml:space="preserve"> SSC failure </w:t>
      </w:r>
      <w:r w:rsidR="009E0826" w:rsidRPr="00282FB7">
        <w:t>can occur if any of these conditions are satisfied:</w:t>
      </w:r>
    </w:p>
    <w:p w14:paraId="6F0C14DD" w14:textId="77777777" w:rsidR="009E0826" w:rsidRPr="00282FB7" w:rsidRDefault="009E0826" w:rsidP="004D7781">
      <w:pPr>
        <w:pStyle w:val="ListParagraph"/>
        <w:numPr>
          <w:ilvl w:val="0"/>
          <w:numId w:val="10"/>
        </w:numPr>
        <w:ind w:left="720"/>
      </w:pPr>
      <w:r w:rsidRPr="00282FB7">
        <w:t>Missed or misinterpreted identification of SSC degradation from direct or indirect monitoring data (e.g., degradation is not detected, degradation is not appropriately categorized)</w:t>
      </w:r>
    </w:p>
    <w:p w14:paraId="2DA642EE" w14:textId="6B73897E" w:rsidR="009E0826" w:rsidRDefault="009E0826" w:rsidP="004D7781">
      <w:pPr>
        <w:pStyle w:val="ListParagraph"/>
        <w:numPr>
          <w:ilvl w:val="0"/>
          <w:numId w:val="10"/>
        </w:numPr>
        <w:ind w:left="720"/>
      </w:pPr>
      <w:r w:rsidRPr="00282FB7">
        <w:t xml:space="preserve">Inability to </w:t>
      </w:r>
      <w:r w:rsidR="000A04E9" w:rsidRPr="00282FB7">
        <w:t>act</w:t>
      </w:r>
      <w:r w:rsidRPr="00282FB7">
        <w:t xml:space="preserve"> before event occurrence after SSC degradation has been detected</w:t>
      </w:r>
      <w:r w:rsidRPr="00A72100">
        <w:rPr>
          <w:vertAlign w:val="superscript"/>
        </w:rPr>
        <w:footnoteReference w:id="1"/>
      </w:r>
      <w:r w:rsidRPr="00282FB7">
        <w:t>.</w:t>
      </w:r>
    </w:p>
    <w:p w14:paraId="47C84567" w14:textId="5E1203C8" w:rsidR="009E0826" w:rsidRDefault="009E0826" w:rsidP="007157B7">
      <w:r w:rsidRPr="00282FB7">
        <w:t xml:space="preserve">The first condition points to the elements of the SSC </w:t>
      </w:r>
      <w:r>
        <w:t>S-M-</w:t>
      </w:r>
      <w:r w:rsidRPr="005D66AA">
        <w:t>PHM</w:t>
      </w:r>
      <w:r w:rsidRPr="00282FB7">
        <w:t xml:space="preserve"> plan that are </w:t>
      </w:r>
      <w:r w:rsidRPr="009E0826">
        <w:rPr>
          <w:i/>
          <w:iCs/>
        </w:rPr>
        <w:t>unknown</w:t>
      </w:r>
      <w:r w:rsidRPr="00282FB7">
        <w:t xml:space="preserve"> since monitoring data might not be available continuously, it might not provide a precise assessment of SSC degradation</w:t>
      </w:r>
      <w:r>
        <w:t xml:space="preserve"> </w:t>
      </w:r>
      <w:r w:rsidRPr="00EA356B">
        <w:t>(e.g., probability of detection)</w:t>
      </w:r>
      <w:r w:rsidR="00A45776">
        <w:t>. If</w:t>
      </w:r>
      <w:r w:rsidRPr="00282FB7">
        <w:t xml:space="preserve"> </w:t>
      </w:r>
      <w:r w:rsidRPr="00EA356B">
        <w:t xml:space="preserve">data are collected periodically, </w:t>
      </w:r>
      <w:r w:rsidR="00A45776">
        <w:t>the plan</w:t>
      </w:r>
      <w:r w:rsidR="00A45776" w:rsidRPr="00282FB7">
        <w:t xml:space="preserve"> </w:t>
      </w:r>
      <w:r w:rsidRPr="00282FB7">
        <w:t>might not exhaustively cover all physical elements of the SSC and monitoring system detecting capabilities might be imprecise (</w:t>
      </w:r>
      <w:r w:rsidR="00A45776">
        <w:t xml:space="preserve">as </w:t>
      </w:r>
      <w:r w:rsidRPr="00282FB7">
        <w:t xml:space="preserve">measured values might be affected by uncertainties or </w:t>
      </w:r>
      <w:r w:rsidR="00A45776">
        <w:t xml:space="preserve">the </w:t>
      </w:r>
      <w:r w:rsidRPr="00282FB7">
        <w:t>monitoring system might not be able to reliably detect degradation phenomena).</w:t>
      </w:r>
    </w:p>
    <w:p w14:paraId="604BA888" w14:textId="3AAE3961" w:rsidR="00282FB7" w:rsidRPr="00282FB7" w:rsidRDefault="007157B7" w:rsidP="00282FB7">
      <w:r w:rsidRPr="00EA356B">
        <w:lastRenderedPageBreak/>
        <w:t xml:space="preserve">The second combines physics-based considerations informed by available monitoring data with the actual SSC </w:t>
      </w:r>
      <w:r w:rsidR="009E0826">
        <w:t>O&amp;M</w:t>
      </w:r>
      <w:r w:rsidRPr="00EA356B">
        <w:t xml:space="preserve"> strategy (e.g., time to take corrective action), which might be aleatory in nature.</w:t>
      </w:r>
      <w:r w:rsidR="009E0826">
        <w:t xml:space="preserve"> More precisely</w:t>
      </w:r>
      <w:r w:rsidR="00282FB7" w:rsidRPr="00282FB7">
        <w:t xml:space="preserve">, the second condition points to the elements of the SSC </w:t>
      </w:r>
      <w:r w:rsidR="009E0826">
        <w:t>S-M-</w:t>
      </w:r>
      <w:r w:rsidR="009E0826" w:rsidRPr="005D66AA">
        <w:t>PHM</w:t>
      </w:r>
      <w:r w:rsidR="009E0826" w:rsidRPr="00282FB7">
        <w:t xml:space="preserve"> </w:t>
      </w:r>
      <w:r w:rsidR="00282FB7" w:rsidRPr="00282FB7">
        <w:t xml:space="preserve">plan that are </w:t>
      </w:r>
      <w:r w:rsidR="00282FB7" w:rsidRPr="00282FB7">
        <w:rPr>
          <w:i/>
          <w:iCs/>
        </w:rPr>
        <w:t>known</w:t>
      </w:r>
      <w:r w:rsidR="00282FB7" w:rsidRPr="00282FB7">
        <w:t xml:space="preserve"> (i.e., degradation phenomena have been detected and their evolution can be tracked). The presence of such degradation poses a critical element that might lead to SSC failure, which can be quantified using load vs. capacity considerations described above (i.e., deterministic in nature). In addition, the prescribed corrective actions defined in the SSC </w:t>
      </w:r>
      <w:r w:rsidR="009E0826">
        <w:t>O&amp;M</w:t>
      </w:r>
      <w:r w:rsidR="009E0826" w:rsidRPr="00EA356B">
        <w:t xml:space="preserve"> </w:t>
      </w:r>
      <w:r w:rsidR="00282FB7" w:rsidRPr="00282FB7">
        <w:t>plan cannot be immediate</w:t>
      </w:r>
      <w:r w:rsidR="00A45776">
        <w:t>,</w:t>
      </w:r>
      <w:r w:rsidR="00282FB7" w:rsidRPr="00282FB7">
        <w:t xml:space="preserve"> and hence, the time to perform such actions needs to be compared with the progression rate of the degradation phenomena.</w:t>
      </w:r>
    </w:p>
    <w:p w14:paraId="5C3CF49B" w14:textId="6945012B" w:rsidR="00282FB7" w:rsidRDefault="00282FB7" w:rsidP="00282FB7">
      <w:r w:rsidRPr="00282FB7">
        <w:t xml:space="preserve">Thus, the goal of the SSC reliability modeling within </w:t>
      </w:r>
      <w:r w:rsidR="00E93760">
        <w:t>a</w:t>
      </w:r>
      <w:r w:rsidR="00A45776">
        <w:t>n</w:t>
      </w:r>
      <w:r w:rsidR="00E93760">
        <w:t xml:space="preserve"> S-M-</w:t>
      </w:r>
      <w:r w:rsidR="00E93760" w:rsidRPr="005D66AA">
        <w:t>PHM</w:t>
      </w:r>
      <w:r w:rsidRPr="00282FB7">
        <w:t xml:space="preserve"> context is to capture the probabilistic nature of the conditions listed above; such reliability considerations are presented in detail in</w:t>
      </w:r>
      <w:r w:rsidRPr="00282FB7" w:rsidDel="00862142">
        <w:t xml:space="preserve"> </w:t>
      </w:r>
      <w:r w:rsidRPr="00282FB7">
        <w:t xml:space="preserve">Section </w:t>
      </w:r>
      <w:r w:rsidR="00E93760">
        <w:t>4</w:t>
      </w:r>
      <w:r w:rsidRPr="00282FB7">
        <w:t>.</w:t>
      </w:r>
    </w:p>
    <w:p w14:paraId="0CA01ABE" w14:textId="50C8C773" w:rsidR="00CF76DB" w:rsidRPr="00EA356B" w:rsidRDefault="00CF76DB" w:rsidP="00CF76DB">
      <w:r w:rsidRPr="00EA356B">
        <w:t xml:space="preserve">The following presents three common SSC operational scenarios that describe the elements that affect actual SSC reliability. The common theme throughout is that SSC reliability is a measure that balances SSC performance (i.e., data) and decisions. Consider the scenarios where SSC performance is not monitored (Section </w:t>
      </w:r>
      <w:r w:rsidR="00F73FC0">
        <w:t>5</w:t>
      </w:r>
      <w:r w:rsidRPr="00EA356B">
        <w:t xml:space="preserve">.1), SSC is monitored through periodic surveillance inspections (Section </w:t>
      </w:r>
      <w:r w:rsidR="00F73FC0">
        <w:t>5</w:t>
      </w:r>
      <w:r w:rsidRPr="00EA356B">
        <w:t xml:space="preserve">.2), and SSC is subject to continuous monitoring (Section </w:t>
      </w:r>
      <w:r w:rsidR="00F73FC0">
        <w:t>5</w:t>
      </w:r>
      <w:r w:rsidRPr="00EA356B">
        <w:t>.3).</w:t>
      </w:r>
    </w:p>
    <w:p w14:paraId="752E998D" w14:textId="77777777" w:rsidR="00CF76DB" w:rsidRPr="00EA356B" w:rsidRDefault="00CF76DB" w:rsidP="00CF76DB">
      <w:pPr>
        <w:pStyle w:val="Heading2"/>
      </w:pPr>
      <w:bookmarkStart w:id="6" w:name="_Toc162617538"/>
      <w:r w:rsidRPr="00EA356B">
        <w:t xml:space="preserve">SSC Without </w:t>
      </w:r>
      <w:r>
        <w:t>S-M-PHM</w:t>
      </w:r>
      <w:r w:rsidRPr="00EA356B">
        <w:t xml:space="preserve"> Programs</w:t>
      </w:r>
      <w:bookmarkEnd w:id="6"/>
    </w:p>
    <w:p w14:paraId="17C5AEB6" w14:textId="48DC03FF" w:rsidR="00CF76DB" w:rsidRPr="00EA356B" w:rsidRDefault="00CF76DB" w:rsidP="00CF76DB">
      <w:r w:rsidRPr="00EA356B">
        <w:t xml:space="preserve">This first scenario considers an SSC where neither </w:t>
      </w:r>
      <w:r w:rsidR="00E40FB7">
        <w:t xml:space="preserve">a </w:t>
      </w:r>
      <w:r w:rsidRPr="00EA356B">
        <w:t xml:space="preserve">monitoring system nor surveillance programs are used. Thus, once the undesired event occurs (e.g., SSC failure), corrective actions are performed (see </w:t>
      </w:r>
      <w:r>
        <w:fldChar w:fldCharType="begin"/>
      </w:r>
      <w:r>
        <w:instrText xml:space="preserve"> REF _Ref188457459 \h </w:instrText>
      </w:r>
      <w:r>
        <w:fldChar w:fldCharType="separate"/>
      </w:r>
      <w:r w:rsidR="00F23357" w:rsidRPr="004D7781">
        <w:t>Figure</w:t>
      </w:r>
      <w:r w:rsidR="00F23357">
        <w:t> </w:t>
      </w:r>
      <w:r w:rsidR="00F23357">
        <w:rPr>
          <w:noProof/>
        </w:rPr>
        <w:t>4</w:t>
      </w:r>
      <w:r>
        <w:fldChar w:fldCharType="end"/>
      </w:r>
      <w:r w:rsidRPr="00EA356B">
        <w:t xml:space="preserve">). SSC reliability is a measure of the occurrence of an undesired event, which is considered completely aleatory in nature. The rate of occurrence of the undesired event is estimated using historical or experimental failure data. In addition, Bayesian updating methods can be performed while the SSC is operating and operating data (e.g., </w:t>
      </w:r>
      <w:r w:rsidR="00A53291">
        <w:t xml:space="preserve">the </w:t>
      </w:r>
      <w:r w:rsidRPr="00EA356B">
        <w:t xml:space="preserve">number of undesired event occurrences through the SSC life) </w:t>
      </w:r>
      <w:r w:rsidR="00E40FB7">
        <w:t>are</w:t>
      </w:r>
      <w:r w:rsidR="00E40FB7" w:rsidRPr="00EA356B">
        <w:t xml:space="preserve"> </w:t>
      </w:r>
      <w:r w:rsidRPr="00EA356B">
        <w:t>available.</w:t>
      </w:r>
    </w:p>
    <w:p w14:paraId="15CC3298" w14:textId="77777777" w:rsidR="00CF76DB" w:rsidRDefault="00CF76DB" w:rsidP="00CF76DB">
      <w:pPr>
        <w:keepNext/>
        <w:jc w:val="center"/>
      </w:pPr>
      <w:r w:rsidRPr="00EA356B">
        <w:rPr>
          <w:noProof/>
        </w:rPr>
        <w:drawing>
          <wp:inline distT="0" distB="0" distL="0" distR="0" wp14:anchorId="7A494515" wp14:editId="67EC2A17">
            <wp:extent cx="2544660" cy="1154658"/>
            <wp:effectExtent l="0" t="0" r="0" b="1270"/>
            <wp:docPr id="19004814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481423" name=""/>
                    <pic:cNvPicPr/>
                  </pic:nvPicPr>
                  <pic:blipFill>
                    <a:blip r:embed="rId13"/>
                    <a:stretch>
                      <a:fillRect/>
                    </a:stretch>
                  </pic:blipFill>
                  <pic:spPr>
                    <a:xfrm>
                      <a:off x="0" y="0"/>
                      <a:ext cx="2607797" cy="1183307"/>
                    </a:xfrm>
                    <a:prstGeom prst="rect">
                      <a:avLst/>
                    </a:prstGeom>
                  </pic:spPr>
                </pic:pic>
              </a:graphicData>
            </a:graphic>
          </wp:inline>
        </w:drawing>
      </w:r>
    </w:p>
    <w:p w14:paraId="55BDA6B7" w14:textId="560AE4BC" w:rsidR="00CF76DB" w:rsidRPr="004D7781" w:rsidRDefault="00CF76DB" w:rsidP="004D7781">
      <w:pPr>
        <w:pStyle w:val="Caption"/>
      </w:pPr>
      <w:bookmarkStart w:id="7" w:name="_Ref188457459"/>
      <w:r w:rsidRPr="004D7781">
        <w:t>Figure</w:t>
      </w:r>
      <w:r w:rsidR="00F23357">
        <w:t> </w:t>
      </w:r>
      <w:r w:rsidRPr="004D7781">
        <w:fldChar w:fldCharType="begin"/>
      </w:r>
      <w:r w:rsidRPr="004D7781">
        <w:instrText xml:space="preserve"> SEQ Figure \* ARABIC </w:instrText>
      </w:r>
      <w:r w:rsidRPr="004D7781">
        <w:fldChar w:fldCharType="separate"/>
      </w:r>
      <w:r w:rsidR="00A53291">
        <w:t>4</w:t>
      </w:r>
      <w:r w:rsidRPr="004D7781">
        <w:fldChar w:fldCharType="end"/>
      </w:r>
      <w:bookmarkStart w:id="8" w:name="_Toc162617570"/>
      <w:bookmarkEnd w:id="7"/>
      <w:r w:rsidRPr="004D7781">
        <w:t>. Temporal relations between data and decisions for an SSC where monitoring and inspection programs are not in place.</w:t>
      </w:r>
      <w:bookmarkEnd w:id="8"/>
    </w:p>
    <w:p w14:paraId="67B1AED8" w14:textId="09E15DA7" w:rsidR="00CF76DB" w:rsidRPr="00EA356B" w:rsidRDefault="00CF76DB" w:rsidP="00CF76DB">
      <w:r>
        <w:t xml:space="preserve">Note that </w:t>
      </w:r>
      <w:r w:rsidR="00E40FB7">
        <w:t xml:space="preserve">the </w:t>
      </w:r>
      <w:r>
        <w:t>same arguments here apply to the scenario when periodic surveillance test</w:t>
      </w:r>
      <w:r w:rsidR="00E40FB7">
        <w:t>s</w:t>
      </w:r>
      <w:r>
        <w:t xml:space="preserve"> if the SSC perform</w:t>
      </w:r>
      <w:r w:rsidR="00E40FB7">
        <w:t>s</w:t>
      </w:r>
      <w:r>
        <w:t xml:space="preserve"> its intended function(s). Here, data collected </w:t>
      </w:r>
      <w:r w:rsidR="00E40FB7">
        <w:t xml:space="preserve">are </w:t>
      </w:r>
      <w:r>
        <w:t xml:space="preserve">Boolean in nature, either </w:t>
      </w:r>
      <w:r w:rsidR="00E40FB7">
        <w:t xml:space="preserve">the </w:t>
      </w:r>
      <w:r>
        <w:t xml:space="preserve">SSC performs </w:t>
      </w:r>
      <w:r w:rsidR="00E40FB7">
        <w:t xml:space="preserve">its function(s) </w:t>
      </w:r>
      <w:r>
        <w:t>or not.</w:t>
      </w:r>
    </w:p>
    <w:p w14:paraId="268D71AE" w14:textId="77777777" w:rsidR="00CF76DB" w:rsidRPr="00EA356B" w:rsidRDefault="00CF76DB" w:rsidP="00CF76DB">
      <w:pPr>
        <w:pStyle w:val="Heading2"/>
      </w:pPr>
      <w:bookmarkStart w:id="9" w:name="_Toc162617539"/>
      <w:r w:rsidRPr="00EA356B">
        <w:t>SSC Under Periodic Inspections</w:t>
      </w:r>
      <w:bookmarkEnd w:id="9"/>
    </w:p>
    <w:p w14:paraId="1B4EF88E" w14:textId="39D082E0" w:rsidR="00CF76DB" w:rsidRDefault="00CF76DB" w:rsidP="00CF76DB">
      <w:r w:rsidRPr="00EA356B">
        <w:t xml:space="preserve">Considering a scenario where an SSC is periodically examined to identify flaws at a fixed interval set as </w:t>
      </w:r>
      <m:oMath>
        <m:r>
          <w:rPr>
            <w:rFonts w:ascii="Cambria Math" w:hAnsi="Cambria Math"/>
          </w:rPr>
          <m:t>∆T</m:t>
        </m:r>
      </m:oMath>
      <w:r w:rsidRPr="00EA356B">
        <w:t xml:space="preserve">, (see </w:t>
      </w:r>
      <w:r w:rsidRPr="00EA356B">
        <w:fldChar w:fldCharType="begin"/>
      </w:r>
      <w:r w:rsidRPr="00EA356B">
        <w:instrText xml:space="preserve"> REF _Ref159402643 \h  \* MERGEFORMAT </w:instrText>
      </w:r>
      <w:r w:rsidRPr="00EA356B">
        <w:fldChar w:fldCharType="separate"/>
      </w:r>
      <w:r w:rsidR="00F23357" w:rsidRPr="00EA356B">
        <w:t>Figure</w:t>
      </w:r>
      <w:r w:rsidR="00F23357">
        <w:t> 5</w:t>
      </w:r>
      <w:r w:rsidRPr="00EA356B">
        <w:fldChar w:fldCharType="end"/>
      </w:r>
      <w:r w:rsidRPr="00EA356B">
        <w:t xml:space="preserve">). Once a flaw is detected, its progression is monitored at either the same frequency (i.e., with </w:t>
      </w:r>
      <m:oMath>
        <m:r>
          <w:rPr>
            <w:rFonts w:ascii="Cambria Math" w:hAnsi="Cambria Math"/>
          </w:rPr>
          <m:t>∆T</m:t>
        </m:r>
      </m:oMath>
      <w:r w:rsidRPr="00EA356B">
        <w:t xml:space="preserve"> as the time interval between inspections) or at an increased frequency. Once degradation progression reaches predefined limits, corrective actions (i.e., the SSC is either fixed or replaced) are taken before the failure. As indicated </w:t>
      </w:r>
      <w:r w:rsidRPr="004E44AD">
        <w:t xml:space="preserve">in Section </w:t>
      </w:r>
      <w:r w:rsidR="004E44AD" w:rsidRPr="004E44AD">
        <w:t>5</w:t>
      </w:r>
      <w:r w:rsidRPr="00EA356B">
        <w:t xml:space="preserve">, the occurrence of such undesired events can occur if either the flaw is not detected or corrective actions are not taken in a timely manner prior to </w:t>
      </w:r>
      <w:r w:rsidR="00E40FB7">
        <w:t xml:space="preserve">the </w:t>
      </w:r>
      <w:r w:rsidRPr="00EA356B">
        <w:t>event occurrence.</w:t>
      </w:r>
    </w:p>
    <w:p w14:paraId="36403FB2" w14:textId="77777777" w:rsidR="00D53A1C" w:rsidRPr="00EA356B" w:rsidRDefault="00D53A1C" w:rsidP="00D53A1C">
      <w:pPr>
        <w:jc w:val="center"/>
      </w:pPr>
      <w:r w:rsidRPr="00EA356B">
        <w:rPr>
          <w:noProof/>
        </w:rPr>
        <w:lastRenderedPageBreak/>
        <w:drawing>
          <wp:inline distT="0" distB="0" distL="0" distR="0" wp14:anchorId="5AFE91F2" wp14:editId="7331C6A1">
            <wp:extent cx="3657600" cy="1494692"/>
            <wp:effectExtent l="0" t="0" r="0" b="4445"/>
            <wp:docPr id="1904213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213751" name=""/>
                    <pic:cNvPicPr/>
                  </pic:nvPicPr>
                  <pic:blipFill>
                    <a:blip r:embed="rId14"/>
                    <a:stretch>
                      <a:fillRect/>
                    </a:stretch>
                  </pic:blipFill>
                  <pic:spPr>
                    <a:xfrm>
                      <a:off x="0" y="0"/>
                      <a:ext cx="3672386" cy="1500734"/>
                    </a:xfrm>
                    <a:prstGeom prst="rect">
                      <a:avLst/>
                    </a:prstGeom>
                  </pic:spPr>
                </pic:pic>
              </a:graphicData>
            </a:graphic>
          </wp:inline>
        </w:drawing>
      </w:r>
    </w:p>
    <w:p w14:paraId="59D85340" w14:textId="405AD5DA" w:rsidR="00D53A1C" w:rsidRPr="00EA356B" w:rsidRDefault="00D53A1C" w:rsidP="00D53A1C">
      <w:pPr>
        <w:pStyle w:val="Caption"/>
      </w:pPr>
      <w:bookmarkStart w:id="10" w:name="_Ref159402643"/>
      <w:bookmarkStart w:id="11" w:name="_Toc162617571"/>
      <w:r w:rsidRPr="00EA356B">
        <w:t>Figure</w:t>
      </w:r>
      <w:r w:rsidR="00F23357">
        <w:t> </w:t>
      </w:r>
      <w:r w:rsidRPr="00EA356B">
        <w:fldChar w:fldCharType="begin"/>
      </w:r>
      <w:r w:rsidRPr="00EA356B">
        <w:instrText xml:space="preserve"> SEQ Figure \* ARABIC </w:instrText>
      </w:r>
      <w:r w:rsidRPr="00EA356B">
        <w:fldChar w:fldCharType="separate"/>
      </w:r>
      <w:r w:rsidR="00A53291">
        <w:t>5</w:t>
      </w:r>
      <w:r w:rsidRPr="00EA356B">
        <w:fldChar w:fldCharType="end"/>
      </w:r>
      <w:bookmarkEnd w:id="10"/>
      <w:r w:rsidRPr="00EA356B">
        <w:t>. Temporal relations between data and decisions for an SSC under periodic inspection.</w:t>
      </w:r>
      <w:bookmarkEnd w:id="11"/>
    </w:p>
    <w:p w14:paraId="3FA218FB" w14:textId="5FA05272" w:rsidR="00CF76DB" w:rsidRPr="00EA356B" w:rsidRDefault="00CF76DB" w:rsidP="00CF76DB">
      <w:r w:rsidRPr="00EA356B">
        <w:fldChar w:fldCharType="begin"/>
      </w:r>
      <w:r w:rsidRPr="00EA356B">
        <w:instrText xml:space="preserve"> REF _Ref159406267 \h  \* MERGEFORMAT </w:instrText>
      </w:r>
      <w:r w:rsidRPr="00EA356B">
        <w:fldChar w:fldCharType="separate"/>
      </w:r>
      <w:r w:rsidR="00F23357" w:rsidRPr="00EA356B">
        <w:t>Table</w:t>
      </w:r>
      <w:r w:rsidR="00F23357">
        <w:t> 1</w:t>
      </w:r>
      <w:r w:rsidRPr="00EA356B">
        <w:fldChar w:fldCharType="end"/>
      </w:r>
      <w:r w:rsidRPr="00EA356B">
        <w:t xml:space="preserve"> presents the information used for modeling from a reliability perspective. Note that the set of listed variables are associated with flaw emergence, </w:t>
      </w:r>
      <w:r w:rsidR="002C3F7E">
        <w:t xml:space="preserve">and </w:t>
      </w:r>
      <w:r w:rsidRPr="00EA356B">
        <w:t>physical phenomena behind degradation progression. Regarding the phenomena behind degradation progression, such knowledge is mostly physics based using experimental and past operational data to quantify the temporal evolution of a flaw-to-failure process. Advanced modeling techniques based on fracture mechanics are now available as well for a more accurate modeling of degradation progression over time.</w:t>
      </w:r>
    </w:p>
    <w:p w14:paraId="0472F23D" w14:textId="07868787" w:rsidR="00D53A1C" w:rsidRPr="00EA356B" w:rsidRDefault="00D53A1C" w:rsidP="00D53A1C">
      <w:pPr>
        <w:pStyle w:val="TableCaption"/>
      </w:pPr>
      <w:bookmarkStart w:id="12" w:name="_Ref159406267"/>
      <w:bookmarkStart w:id="13" w:name="_Toc162617576"/>
      <w:r w:rsidRPr="00EA356B">
        <w:t>Table</w:t>
      </w:r>
      <w:r w:rsidR="00F23357">
        <w:t> </w:t>
      </w:r>
      <w:r w:rsidRPr="00EA356B">
        <w:fldChar w:fldCharType="begin"/>
      </w:r>
      <w:r w:rsidRPr="00EA356B">
        <w:instrText xml:space="preserve"> SEQ Table \* ARABIC </w:instrText>
      </w:r>
      <w:r w:rsidRPr="00EA356B">
        <w:fldChar w:fldCharType="separate"/>
      </w:r>
      <w:r w:rsidR="00A53291">
        <w:t>1</w:t>
      </w:r>
      <w:r w:rsidRPr="00EA356B">
        <w:fldChar w:fldCharType="end"/>
      </w:r>
      <w:bookmarkEnd w:id="12"/>
      <w:r w:rsidRPr="00EA356B">
        <w:t>. Reliability modeling parameters associated with an SSC under periodic inspection.</w:t>
      </w:r>
      <w:bookmarkEnd w:id="13"/>
    </w:p>
    <w:tbl>
      <w:tblPr>
        <w:tblStyle w:val="TableGrid"/>
        <w:tblW w:w="9535" w:type="dxa"/>
        <w:jc w:val="center"/>
        <w:tblLook w:val="04A0" w:firstRow="1" w:lastRow="0" w:firstColumn="1" w:lastColumn="0" w:noHBand="0" w:noVBand="1"/>
      </w:tblPr>
      <w:tblGrid>
        <w:gridCol w:w="912"/>
        <w:gridCol w:w="3583"/>
        <w:gridCol w:w="5040"/>
      </w:tblGrid>
      <w:tr w:rsidR="00D53A1C" w:rsidRPr="00F23357" w14:paraId="20E47F66" w14:textId="77777777" w:rsidTr="004D3555">
        <w:trPr>
          <w:jc w:val="center"/>
        </w:trPr>
        <w:tc>
          <w:tcPr>
            <w:tcW w:w="912" w:type="dxa"/>
            <w:shd w:val="clear" w:color="auto" w:fill="D9D9D9" w:themeFill="background1" w:themeFillShade="D9"/>
          </w:tcPr>
          <w:p w14:paraId="48C3B725"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Symbol</w:t>
            </w:r>
          </w:p>
        </w:tc>
        <w:tc>
          <w:tcPr>
            <w:tcW w:w="3583" w:type="dxa"/>
            <w:shd w:val="clear" w:color="auto" w:fill="D9D9D9" w:themeFill="background1" w:themeFillShade="D9"/>
          </w:tcPr>
          <w:p w14:paraId="1755EDFF"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Name</w:t>
            </w:r>
          </w:p>
        </w:tc>
        <w:tc>
          <w:tcPr>
            <w:tcW w:w="5040" w:type="dxa"/>
            <w:shd w:val="clear" w:color="auto" w:fill="D9D9D9" w:themeFill="background1" w:themeFillShade="D9"/>
          </w:tcPr>
          <w:p w14:paraId="56980429"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Notes</w:t>
            </w:r>
          </w:p>
        </w:tc>
      </w:tr>
      <w:tr w:rsidR="00D53A1C" w:rsidRPr="00F23357" w14:paraId="1AB38B49" w14:textId="77777777" w:rsidTr="004D3555">
        <w:trPr>
          <w:jc w:val="center"/>
        </w:trPr>
        <w:tc>
          <w:tcPr>
            <w:tcW w:w="912" w:type="dxa"/>
            <w:vAlign w:val="center"/>
          </w:tcPr>
          <w:p w14:paraId="78F8321C" w14:textId="77777777" w:rsidR="00D53A1C" w:rsidRPr="00F23357" w:rsidRDefault="00000000" w:rsidP="004D3555">
            <w:pPr>
              <w:pStyle w:val="Table"/>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flaw</m:t>
                    </m:r>
                  </m:sub>
                </m:sSub>
              </m:oMath>
            </m:oMathPara>
          </w:p>
        </w:tc>
        <w:tc>
          <w:tcPr>
            <w:tcW w:w="3583" w:type="dxa"/>
            <w:vAlign w:val="center"/>
          </w:tcPr>
          <w:p w14:paraId="64A75601"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 xml:space="preserve">Probabilistic rate of flaw occurrence </w:t>
            </w:r>
          </w:p>
        </w:tc>
        <w:tc>
          <w:tcPr>
            <w:tcW w:w="5040" w:type="dxa"/>
          </w:tcPr>
          <w:p w14:paraId="029B4BB2"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 xml:space="preserve">The flaw occurrence in an SSC is considered aleatory in nature </w:t>
            </w:r>
          </w:p>
        </w:tc>
      </w:tr>
      <w:tr w:rsidR="00D53A1C" w:rsidRPr="00F23357" w14:paraId="6A75A29B" w14:textId="77777777" w:rsidTr="004D3555">
        <w:trPr>
          <w:jc w:val="center"/>
        </w:trPr>
        <w:tc>
          <w:tcPr>
            <w:tcW w:w="912" w:type="dxa"/>
            <w:vAlign w:val="center"/>
          </w:tcPr>
          <w:p w14:paraId="74F33C05" w14:textId="77777777" w:rsidR="00D53A1C" w:rsidRPr="00F23357" w:rsidRDefault="00000000" w:rsidP="004D3555">
            <w:pPr>
              <w:pStyle w:val="Table"/>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flaw</m:t>
                    </m:r>
                  </m:sub>
                </m:sSub>
              </m:oMath>
            </m:oMathPara>
          </w:p>
        </w:tc>
        <w:tc>
          <w:tcPr>
            <w:tcW w:w="3583" w:type="dxa"/>
            <w:vAlign w:val="center"/>
          </w:tcPr>
          <w:p w14:paraId="32528E1E"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Flaw temporal progression</w:t>
            </w:r>
          </w:p>
        </w:tc>
        <w:tc>
          <w:tcPr>
            <w:tcW w:w="5040" w:type="dxa"/>
          </w:tcPr>
          <w:p w14:paraId="2422E9F2"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Estimated time for a flaw to cause the undesired event</w:t>
            </w:r>
          </w:p>
        </w:tc>
      </w:tr>
      <w:tr w:rsidR="00D53A1C" w:rsidRPr="00F23357" w14:paraId="20EB0BF8" w14:textId="77777777" w:rsidTr="004D3555">
        <w:trPr>
          <w:jc w:val="center"/>
        </w:trPr>
        <w:tc>
          <w:tcPr>
            <w:tcW w:w="912" w:type="dxa"/>
            <w:vAlign w:val="center"/>
          </w:tcPr>
          <w:p w14:paraId="3DEC0F44" w14:textId="77777777" w:rsidR="00D53A1C" w:rsidRPr="00F23357" w:rsidRDefault="00D53A1C" w:rsidP="004D3555">
            <w:pPr>
              <w:pStyle w:val="Table"/>
              <w:rPr>
                <w:rFonts w:ascii="Times New Roman" w:hAnsi="Times New Roman" w:cs="Times New Roman"/>
              </w:rPr>
            </w:pPr>
            <m:oMathPara>
              <m:oMath>
                <m:r>
                  <w:rPr>
                    <w:rFonts w:ascii="Cambria Math" w:hAnsi="Cambria Math" w:cs="Times New Roman"/>
                  </w:rPr>
                  <m:t>∆T</m:t>
                </m:r>
              </m:oMath>
            </m:oMathPara>
          </w:p>
        </w:tc>
        <w:tc>
          <w:tcPr>
            <w:tcW w:w="3583" w:type="dxa"/>
            <w:vAlign w:val="center"/>
          </w:tcPr>
          <w:p w14:paraId="24128051"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Frequency of periodic inspections</w:t>
            </w:r>
          </w:p>
        </w:tc>
        <w:tc>
          <w:tcPr>
            <w:tcW w:w="5040" w:type="dxa"/>
          </w:tcPr>
          <w:p w14:paraId="74D16A61" w14:textId="28717518"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 xml:space="preserve">Inspection frequency </w:t>
            </w:r>
          </w:p>
        </w:tc>
      </w:tr>
      <w:tr w:rsidR="00D53A1C" w:rsidRPr="00F23357" w14:paraId="057760C3" w14:textId="77777777" w:rsidTr="004D3555">
        <w:trPr>
          <w:jc w:val="center"/>
        </w:trPr>
        <w:tc>
          <w:tcPr>
            <w:tcW w:w="912" w:type="dxa"/>
            <w:vAlign w:val="center"/>
          </w:tcPr>
          <w:p w14:paraId="7436DEF7" w14:textId="77777777" w:rsidR="00D53A1C" w:rsidRPr="00F23357" w:rsidRDefault="00D53A1C" w:rsidP="004D3555">
            <w:pPr>
              <w:pStyle w:val="Table"/>
              <w:rPr>
                <w:rFonts w:ascii="Times New Roman" w:hAnsi="Times New Roman" w:cs="Times New Roman"/>
              </w:rPr>
            </w:pPr>
            <m:oMathPara>
              <m:oMath>
                <m:r>
                  <w:rPr>
                    <w:rFonts w:ascii="Cambria Math" w:hAnsi="Cambria Math" w:cs="Times New Roman"/>
                  </w:rPr>
                  <m:t>POD</m:t>
                </m:r>
              </m:oMath>
            </m:oMathPara>
          </w:p>
        </w:tc>
        <w:tc>
          <w:tcPr>
            <w:tcW w:w="3583" w:type="dxa"/>
            <w:vAlign w:val="center"/>
          </w:tcPr>
          <w:p w14:paraId="78149A92"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Probability of flaw detection of the monitoring system</w:t>
            </w:r>
          </w:p>
        </w:tc>
        <w:tc>
          <w:tcPr>
            <w:tcW w:w="5040" w:type="dxa"/>
          </w:tcPr>
          <w:p w14:paraId="497AC228"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 xml:space="preserve">The probability of flaw detection is considered aleatory in nature and the estimated performance of detection system based on past operational experience and testing </w:t>
            </w:r>
          </w:p>
        </w:tc>
      </w:tr>
      <w:tr w:rsidR="00D53A1C" w:rsidRPr="00F23357" w14:paraId="74E44E1A" w14:textId="77777777" w:rsidTr="002C3F7E">
        <w:trPr>
          <w:jc w:val="center"/>
        </w:trPr>
        <w:tc>
          <w:tcPr>
            <w:tcW w:w="912" w:type="dxa"/>
            <w:vAlign w:val="center"/>
          </w:tcPr>
          <w:p w14:paraId="4FC7BF5A" w14:textId="77777777" w:rsidR="00D53A1C" w:rsidRPr="00F23357" w:rsidRDefault="00000000" w:rsidP="004D3555">
            <w:pPr>
              <w:pStyle w:val="Table"/>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corr</m:t>
                    </m:r>
                  </m:sub>
                </m:sSub>
              </m:oMath>
            </m:oMathPara>
          </w:p>
        </w:tc>
        <w:tc>
          <w:tcPr>
            <w:tcW w:w="3583" w:type="dxa"/>
            <w:vAlign w:val="center"/>
          </w:tcPr>
          <w:p w14:paraId="3D04C779" w14:textId="77777777" w:rsidR="00D53A1C" w:rsidRPr="00F23357" w:rsidRDefault="00D53A1C" w:rsidP="004D3555">
            <w:pPr>
              <w:pStyle w:val="Table"/>
              <w:rPr>
                <w:rFonts w:ascii="Times New Roman" w:hAnsi="Times New Roman" w:cs="Times New Roman"/>
              </w:rPr>
            </w:pPr>
            <w:r w:rsidRPr="00F23357">
              <w:rPr>
                <w:rFonts w:ascii="Times New Roman" w:hAnsi="Times New Roman" w:cs="Times New Roman"/>
              </w:rPr>
              <w:t>Time required to take appropriate corrective actions</w:t>
            </w:r>
          </w:p>
        </w:tc>
        <w:tc>
          <w:tcPr>
            <w:tcW w:w="5040" w:type="dxa"/>
            <w:vAlign w:val="center"/>
          </w:tcPr>
          <w:p w14:paraId="7B653662" w14:textId="1CD3E77D" w:rsidR="00D53A1C" w:rsidRPr="00F23357" w:rsidRDefault="00D53A1C" w:rsidP="002C3F7E">
            <w:pPr>
              <w:pStyle w:val="Table"/>
              <w:jc w:val="left"/>
              <w:rPr>
                <w:rFonts w:ascii="Times New Roman" w:hAnsi="Times New Roman" w:cs="Times New Roman"/>
              </w:rPr>
            </w:pPr>
            <w:r w:rsidRPr="00F23357">
              <w:rPr>
                <w:rFonts w:ascii="Times New Roman" w:hAnsi="Times New Roman" w:cs="Times New Roman"/>
              </w:rPr>
              <w:t>Time estimated based on past operational experience</w:t>
            </w:r>
          </w:p>
        </w:tc>
      </w:tr>
    </w:tbl>
    <w:p w14:paraId="48A53444" w14:textId="39FA0448" w:rsidR="00CF76DB" w:rsidRPr="00EA356B" w:rsidRDefault="00CF76DB" w:rsidP="00CF76DB">
      <w:r w:rsidRPr="00EA356B">
        <w:t xml:space="preserve">Given the information provided in </w:t>
      </w:r>
      <w:r w:rsidRPr="00EA356B">
        <w:fldChar w:fldCharType="begin"/>
      </w:r>
      <w:r w:rsidRPr="00EA356B">
        <w:instrText xml:space="preserve"> REF _Ref159406267 \h  \* MERGEFORMAT </w:instrText>
      </w:r>
      <w:r w:rsidRPr="00EA356B">
        <w:fldChar w:fldCharType="separate"/>
      </w:r>
      <w:r w:rsidR="00A53291" w:rsidRPr="00EA356B">
        <w:t xml:space="preserve">Table </w:t>
      </w:r>
      <w:r w:rsidR="00A53291">
        <w:rPr>
          <w:noProof/>
        </w:rPr>
        <w:t>1</w:t>
      </w:r>
      <w:r w:rsidRPr="00EA356B">
        <w:fldChar w:fldCharType="end"/>
      </w:r>
      <w:r w:rsidRPr="00EA356B">
        <w:t xml:space="preserve">, the SSC reliability under periodic inspections can be presented as </w:t>
      </w:r>
      <m:oMath>
        <m:r>
          <w:rPr>
            <w:rFonts w:ascii="Cambria Math" w:hAnsi="Cambria Math"/>
          </w:rPr>
          <m:t>Prob</m:t>
        </m:r>
        <m:d>
          <m:dPr>
            <m:ctrlPr>
              <w:rPr>
                <w:rFonts w:ascii="Cambria Math" w:hAnsi="Cambria Math"/>
                <w:i/>
                <w:iCs/>
              </w:rPr>
            </m:ctrlPr>
          </m:dPr>
          <m:e>
            <m:r>
              <w:rPr>
                <w:rFonts w:ascii="Cambria Math" w:hAnsi="Cambria Math"/>
              </w:rPr>
              <m:t>event</m:t>
            </m:r>
          </m:e>
        </m:d>
      </m:oMath>
      <w:r w:rsidRPr="00EA356B">
        <w:rPr>
          <w:iCs/>
        </w:rPr>
        <w:t>, which indicates the probability</w:t>
      </w:r>
      <w:r w:rsidRPr="00EA356B">
        <w:rPr>
          <w:iCs/>
          <w:vertAlign w:val="superscript"/>
        </w:rPr>
        <w:footnoteReference w:id="2"/>
      </w:r>
      <w:r w:rsidRPr="00EA356B">
        <w:rPr>
          <w:iCs/>
        </w:rPr>
        <w:t xml:space="preserve"> associated with the occurrence of the SSC undesired event</w:t>
      </w:r>
      <w:r w:rsidRPr="00EA356B">
        <w:t>; this term can be computed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7"/>
        <w:gridCol w:w="833"/>
      </w:tblGrid>
      <w:tr w:rsidR="00CF76DB" w:rsidRPr="00EA356B" w14:paraId="28D6006D" w14:textId="77777777" w:rsidTr="00A9464C">
        <w:tc>
          <w:tcPr>
            <w:tcW w:w="8815" w:type="dxa"/>
          </w:tcPr>
          <w:p w14:paraId="04D301CD" w14:textId="77777777" w:rsidR="00CF76DB" w:rsidRPr="004D7781" w:rsidRDefault="00CF76DB" w:rsidP="004D7781">
            <w:pPr>
              <w:pStyle w:val="ListParagraph"/>
              <w:ind w:hanging="360"/>
              <w:rPr>
                <w:rFonts w:ascii="Times New Roman" w:hAnsi="Times New Roman" w:cs="Times New Roman"/>
              </w:rPr>
            </w:pPr>
            <m:oMathPara>
              <m:oMathParaPr>
                <m:jc m:val="centerGroup"/>
              </m:oMathParaPr>
              <m:oMath>
                <m:r>
                  <w:rPr>
                    <w:rFonts w:ascii="Cambria Math" w:hAnsi="Cambria Math" w:cs="Times New Roman"/>
                  </w:rPr>
                  <m:t>Prob</m:t>
                </m:r>
                <m:d>
                  <m:dPr>
                    <m:ctrlPr>
                      <w:rPr>
                        <w:rFonts w:ascii="Cambria Math" w:hAnsi="Cambria Math" w:cs="Times New Roman"/>
                      </w:rPr>
                    </m:ctrlPr>
                  </m:dPr>
                  <m:e>
                    <m:r>
                      <w:rPr>
                        <w:rFonts w:ascii="Cambria Math" w:hAnsi="Cambria Math" w:cs="Times New Roman"/>
                      </w:rPr>
                      <m:t>event</m:t>
                    </m:r>
                  </m:e>
                </m:d>
                <m:r>
                  <m:rPr>
                    <m:sty m:val="p"/>
                  </m:rPr>
                  <w:rPr>
                    <w:rFonts w:ascii="Cambria Math" w:hAnsi="Cambria Math" w:cs="Times New Roman"/>
                  </w:rPr>
                  <m:t>=</m:t>
                </m:r>
                <m:r>
                  <w:rPr>
                    <w:rFonts w:ascii="Cambria Math" w:hAnsi="Cambria Math" w:cs="Times New Roman"/>
                  </w:rPr>
                  <m:t>Prob</m:t>
                </m:r>
                <m:d>
                  <m:dPr>
                    <m:ctrlPr>
                      <w:rPr>
                        <w:rFonts w:ascii="Cambria Math" w:hAnsi="Cambria Math" w:cs="Times New Roman"/>
                      </w:rPr>
                    </m:ctrlPr>
                  </m:dPr>
                  <m:e>
                    <m:r>
                      <w:rPr>
                        <w:rFonts w:ascii="Cambria Math" w:hAnsi="Cambria Math" w:cs="Times New Roman"/>
                      </w:rPr>
                      <m:t>no</m:t>
                    </m:r>
                    <m:r>
                      <m:rPr>
                        <m:sty m:val="p"/>
                      </m:rPr>
                      <w:rPr>
                        <w:rFonts w:ascii="Cambria Math" w:hAnsi="Cambria Math" w:cs="Times New Roman"/>
                      </w:rPr>
                      <m:t>_</m:t>
                    </m:r>
                    <m:r>
                      <w:rPr>
                        <w:rFonts w:ascii="Cambria Math" w:hAnsi="Cambria Math" w:cs="Times New Roman"/>
                      </w:rPr>
                      <m:t>detection</m:t>
                    </m:r>
                  </m:e>
                </m:d>
                <m:r>
                  <m:rPr>
                    <m:sty m:val="p"/>
                  </m:rPr>
                  <w:rPr>
                    <w:rFonts w:ascii="Cambria Math" w:hAnsi="Cambria Math" w:cs="Times New Roman"/>
                  </w:rPr>
                  <m:t>+</m:t>
                </m:r>
                <m:r>
                  <w:rPr>
                    <w:rFonts w:ascii="Cambria Math" w:hAnsi="Cambria Math" w:cs="Times New Roman"/>
                  </w:rPr>
                  <m:t>P</m:t>
                </m:r>
                <m:d>
                  <m:dPr>
                    <m:ctrlPr>
                      <w:rPr>
                        <w:rFonts w:ascii="Cambria Math" w:hAnsi="Cambria Math" w:cs="Times New Roman"/>
                      </w:rPr>
                    </m:ctrlPr>
                  </m:dPr>
                  <m:e>
                    <m:r>
                      <w:rPr>
                        <w:rFonts w:ascii="Cambria Math" w:hAnsi="Cambria Math" w:cs="Times New Roman"/>
                      </w:rPr>
                      <m:t>no</m:t>
                    </m:r>
                    <m:r>
                      <m:rPr>
                        <m:sty m:val="p"/>
                      </m:rPr>
                      <w:rPr>
                        <w:rFonts w:ascii="Cambria Math" w:hAnsi="Cambria Math" w:cs="Times New Roman"/>
                      </w:rPr>
                      <m:t>_</m:t>
                    </m:r>
                    <m:r>
                      <w:rPr>
                        <w:rFonts w:ascii="Cambria Math" w:hAnsi="Cambria Math" w:cs="Times New Roman"/>
                      </w:rPr>
                      <m:t>timely</m:t>
                    </m:r>
                    <m:r>
                      <m:rPr>
                        <m:sty m:val="p"/>
                      </m:rPr>
                      <w:rPr>
                        <w:rFonts w:ascii="Cambria Math" w:hAnsi="Cambria Math" w:cs="Times New Roman"/>
                      </w:rPr>
                      <m:t>_</m:t>
                    </m:r>
                    <m:r>
                      <w:rPr>
                        <w:rFonts w:ascii="Cambria Math" w:hAnsi="Cambria Math" w:cs="Times New Roman"/>
                      </w:rPr>
                      <m:t>reaction</m:t>
                    </m:r>
                  </m:e>
                </m:d>
                <m:r>
                  <m:rPr>
                    <m:sty m:val="p"/>
                  </m:rPr>
                  <w:rPr>
                    <w:rFonts w:ascii="Cambria Math" w:hAnsi="Cambria Math" w:cs="Times New Roman"/>
                  </w:rPr>
                  <m:t>=</m:t>
                </m:r>
              </m:oMath>
            </m:oMathPara>
          </w:p>
          <w:p w14:paraId="2DF8DAEF" w14:textId="3142EF35" w:rsidR="00CF76DB" w:rsidRPr="004D7781" w:rsidRDefault="00CF76DB" w:rsidP="004D7781">
            <w:pPr>
              <w:pStyle w:val="ListParagraph"/>
              <w:ind w:hanging="360"/>
              <w:rPr>
                <w:rFonts w:ascii="Times New Roman" w:hAnsi="Times New Roman" w:cs="Times New Roman"/>
              </w:rPr>
            </w:pPr>
            <w:r w:rsidRPr="004D7781">
              <w:rPr>
                <w:rFonts w:ascii="Times New Roman" w:hAnsi="Times New Roman" w:cs="Times New Roman"/>
              </w:rPr>
              <w:t xml:space="preserve">  </w:t>
            </w:r>
            <m:oMath>
              <m:r>
                <m:rPr>
                  <m:sty m:val="p"/>
                </m:rPr>
                <w:rPr>
                  <w:rFonts w:ascii="Cambria Math" w:hAnsi="Cambria Math" w:cs="Times New Roman"/>
                </w:rPr>
                <m:t>=</m:t>
              </m:r>
              <m:r>
                <w:rPr>
                  <w:rFonts w:ascii="Cambria Math" w:hAnsi="Cambria Math" w:cs="Times New Roman"/>
                </w:rPr>
                <m:t>f</m:t>
              </m:r>
              <m:d>
                <m:dPr>
                  <m:ctrlPr>
                    <w:rPr>
                      <w:rFonts w:ascii="Cambria Math" w:hAnsi="Cambria Math" w:cs="Times New Roman"/>
                    </w:rPr>
                  </m:ctrlPr>
                </m:dPr>
                <m:e>
                  <m:sSub>
                    <m:sSubPr>
                      <m:ctrlPr>
                        <w:rPr>
                          <w:rFonts w:ascii="Cambria Math" w:hAnsi="Cambria Math" w:cs="Times New Roman"/>
                        </w:rPr>
                      </m:ctrlPr>
                    </m:sSubPr>
                    <m:e>
                      <m:r>
                        <w:rPr>
                          <w:rFonts w:ascii="Cambria Math" w:hAnsi="Cambria Math" w:cs="Times New Roman"/>
                        </w:rPr>
                        <m:t>r</m:t>
                      </m:r>
                    </m:e>
                    <m:sub>
                      <m:r>
                        <w:rPr>
                          <w:rFonts w:ascii="Cambria Math" w:hAnsi="Cambria Math" w:cs="Times New Roman"/>
                        </w:rPr>
                        <m:t>flaw</m:t>
                      </m:r>
                    </m:sub>
                  </m:sSub>
                  <m:r>
                    <m:rPr>
                      <m:sty m:val="p"/>
                    </m:rPr>
                    <w:rPr>
                      <w:rFonts w:ascii="Cambria Math" w:hAnsi="Cambria Math" w:cs="Times New Roman"/>
                    </w:rPr>
                    <m:t>, </m:t>
                  </m:r>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flaw</m:t>
                      </m:r>
                    </m:sub>
                  </m:sSub>
                  <m:r>
                    <m:rPr>
                      <m:sty m:val="p"/>
                    </m:rPr>
                    <w:rPr>
                      <w:rFonts w:ascii="Cambria Math" w:hAnsi="Cambria Math" w:cs="Times New Roman"/>
                    </w:rPr>
                    <m:t>, </m:t>
                  </m:r>
                  <m:r>
                    <w:rPr>
                      <w:rFonts w:ascii="Cambria Math" w:hAnsi="Cambria Math" w:cs="Times New Roman"/>
                    </w:rPr>
                    <m:t>POD</m:t>
                  </m:r>
                  <m:r>
                    <m:rPr>
                      <m:sty m:val="p"/>
                    </m:rPr>
                    <w:rPr>
                      <w:rFonts w:ascii="Cambria Math" w:hAnsi="Cambria Math" w:cs="Times New Roman"/>
                    </w:rPr>
                    <m:t>, ∆</m:t>
                  </m:r>
                  <m:r>
                    <w:rPr>
                      <w:rFonts w:ascii="Cambria Math" w:hAnsi="Cambria Math" w:cs="Times New Roman"/>
                    </w:rPr>
                    <m:t>T</m:t>
                  </m:r>
                </m:e>
              </m:d>
              <m:r>
                <m:rPr>
                  <m:sty m:val="p"/>
                </m:rPr>
                <w:rPr>
                  <w:rFonts w:ascii="Cambria Math" w:hAnsi="Cambria Math" w:cs="Times New Roman"/>
                </w:rPr>
                <m:t>+</m:t>
              </m:r>
              <m:r>
                <w:rPr>
                  <w:rFonts w:ascii="Cambria Math" w:hAnsi="Cambria Math" w:cs="Times New Roman"/>
                </w:rPr>
                <m:t>g</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 </m:t>
              </m:r>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corr</m:t>
                  </m:r>
                </m:sub>
              </m:sSub>
              <m:r>
                <m:rPr>
                  <m:sty m:val="p"/>
                </m:rPr>
                <w:rPr>
                  <w:rFonts w:ascii="Cambria Math" w:hAnsi="Cambria Math" w:cs="Times New Roman"/>
                </w:rPr>
                <m:t>, </m:t>
              </m:r>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flaw</m:t>
                  </m:r>
                </m:sub>
              </m:sSub>
              <m:r>
                <m:rPr>
                  <m:sty m:val="p"/>
                </m:rPr>
                <w:rPr>
                  <w:rFonts w:ascii="Cambria Math" w:hAnsi="Cambria Math" w:cs="Times New Roman"/>
                </w:rPr>
                <m:t>)</m:t>
              </m:r>
            </m:oMath>
          </w:p>
        </w:tc>
        <w:tc>
          <w:tcPr>
            <w:tcW w:w="535" w:type="dxa"/>
            <w:vAlign w:val="center"/>
          </w:tcPr>
          <w:p w14:paraId="3EF3C4E9" w14:textId="77777777" w:rsidR="00CF76DB" w:rsidRPr="00EA356B" w:rsidRDefault="00CF76DB" w:rsidP="004D7781">
            <w:pPr>
              <w:pStyle w:val="ListParagraph"/>
              <w:ind w:hanging="360"/>
              <w:rPr>
                <w:rFonts w:ascii="Times New Roman" w:hAnsi="Times New Roman" w:cs="Times New Roman"/>
              </w:rPr>
            </w:pPr>
            <w:r w:rsidRPr="00EA356B">
              <w:rPr>
                <w:rFonts w:ascii="Times New Roman" w:hAnsi="Times New Roman" w:cs="Times New Roman"/>
              </w:rPr>
              <w:t>(1)</w:t>
            </w:r>
          </w:p>
        </w:tc>
      </w:tr>
    </w:tbl>
    <w:p w14:paraId="34DB3103" w14:textId="77777777" w:rsidR="00CF76DB" w:rsidRPr="00EA356B" w:rsidRDefault="00CF76DB" w:rsidP="00CF76DB">
      <w:pPr>
        <w:rPr>
          <w:iCs/>
        </w:rPr>
      </w:pPr>
      <w:r w:rsidRPr="00EA356B">
        <w:t xml:space="preserve">where the </w:t>
      </w:r>
      <m:oMath>
        <m:r>
          <w:rPr>
            <w:rFonts w:ascii="Cambria Math" w:hAnsi="Cambria Math"/>
          </w:rPr>
          <m:t>f</m:t>
        </m:r>
        <m:d>
          <m:dPr>
            <m:ctrlPr>
              <w:rPr>
                <w:rFonts w:ascii="Cambria Math" w:hAnsi="Cambria Math"/>
                <w:i/>
                <w:iCs/>
              </w:rPr>
            </m:ctrlPr>
          </m:dPr>
          <m:e>
            <m:r>
              <w:rPr>
                <w:rFonts w:ascii="Cambria Math" w:hAnsi="Cambria Math"/>
              </w:rPr>
              <m:t>.</m:t>
            </m:r>
          </m:e>
        </m:d>
      </m:oMath>
      <w:r w:rsidRPr="00EA356B">
        <w:rPr>
          <w:iCs/>
        </w:rPr>
        <w:t xml:space="preserve"> and </w:t>
      </w:r>
      <m:oMath>
        <m:r>
          <w:rPr>
            <w:rFonts w:ascii="Cambria Math" w:hAnsi="Cambria Math"/>
          </w:rPr>
          <m:t>g</m:t>
        </m:r>
        <m:d>
          <m:dPr>
            <m:ctrlPr>
              <w:rPr>
                <w:rFonts w:ascii="Cambria Math" w:hAnsi="Cambria Math"/>
                <w:i/>
                <w:iCs/>
              </w:rPr>
            </m:ctrlPr>
          </m:dPr>
          <m:e>
            <m:r>
              <w:rPr>
                <w:rFonts w:ascii="Cambria Math" w:hAnsi="Cambria Math"/>
              </w:rPr>
              <m:t>.</m:t>
            </m:r>
          </m:e>
        </m:d>
      </m:oMath>
      <w:r w:rsidRPr="00EA356B">
        <w:rPr>
          <w:iCs/>
        </w:rPr>
        <w:t xml:space="preserve"> functions indicate the probability that the flaw is not detected (i.e., </w:t>
      </w:r>
      <m:oMath>
        <m:r>
          <w:rPr>
            <w:rFonts w:ascii="Cambria Math" w:hAnsi="Cambria Math"/>
          </w:rPr>
          <m:t>Prob</m:t>
        </m:r>
        <m:d>
          <m:dPr>
            <m:ctrlPr>
              <w:rPr>
                <w:rFonts w:ascii="Cambria Math" w:hAnsi="Cambria Math"/>
                <w:i/>
                <w:iCs/>
              </w:rPr>
            </m:ctrlPr>
          </m:dPr>
          <m:e>
            <m:r>
              <w:rPr>
                <w:rFonts w:ascii="Cambria Math" w:hAnsi="Cambria Math"/>
              </w:rPr>
              <m:t>no_detection</m:t>
            </m:r>
          </m:e>
        </m:d>
      </m:oMath>
      <w:r w:rsidRPr="00EA356B">
        <w:rPr>
          <w:iCs/>
        </w:rPr>
        <w:t xml:space="preserve">) and the probability that corrective actions are not performed prior to failure of the SSC (i.e., </w:t>
      </w:r>
      <m:oMath>
        <m:r>
          <w:rPr>
            <w:rFonts w:ascii="Cambria Math" w:hAnsi="Cambria Math"/>
          </w:rPr>
          <m:t>P</m:t>
        </m:r>
        <m:d>
          <m:dPr>
            <m:ctrlPr>
              <w:rPr>
                <w:rFonts w:ascii="Cambria Math" w:hAnsi="Cambria Math"/>
                <w:i/>
                <w:iCs/>
              </w:rPr>
            </m:ctrlPr>
          </m:dPr>
          <m:e>
            <m:r>
              <w:rPr>
                <w:rFonts w:ascii="Cambria Math" w:hAnsi="Cambria Math"/>
              </w:rPr>
              <m:t>no_timely_reaction</m:t>
            </m:r>
          </m:e>
        </m:d>
      </m:oMath>
      <w:r w:rsidRPr="00EA356B">
        <w:rPr>
          <w:iCs/>
        </w:rPr>
        <w:t>).</w:t>
      </w:r>
    </w:p>
    <w:p w14:paraId="57F40AA4" w14:textId="1956E499" w:rsidR="00CF76DB" w:rsidRPr="00EA356B" w:rsidRDefault="00CF76DB" w:rsidP="00CF76DB">
      <w:pPr>
        <w:rPr>
          <w:iCs/>
        </w:rPr>
      </w:pPr>
      <w:r w:rsidRPr="00EA356B">
        <w:rPr>
          <w:iCs/>
        </w:rPr>
        <w:t xml:space="preserve">At this point, if </w:t>
      </w:r>
      <w:r w:rsidRPr="00EA356B">
        <w:rPr>
          <w:rFonts w:ascii="Cambria Math" w:hAnsi="Cambria Math" w:cs="Cambria Math"/>
          <w:iCs/>
        </w:rPr>
        <w:t>𝑃𝑟𝑜𝑏</w:t>
      </w:r>
      <w:r w:rsidRPr="00EA356B">
        <w:rPr>
          <w:iCs/>
        </w:rPr>
        <w:t>(</w:t>
      </w:r>
      <w:r w:rsidRPr="00EA356B">
        <w:rPr>
          <w:rFonts w:ascii="Cambria Math" w:hAnsi="Cambria Math" w:cs="Cambria Math"/>
          <w:iCs/>
        </w:rPr>
        <w:t>𝑒𝑣𝑒𝑛𝑡</w:t>
      </w:r>
      <w:r w:rsidRPr="00EA356B">
        <w:rPr>
          <w:iCs/>
        </w:rPr>
        <w:t xml:space="preserve">) is </w:t>
      </w:r>
      <w:r>
        <w:rPr>
          <w:iCs/>
        </w:rPr>
        <w:t>deemed unacceptable</w:t>
      </w:r>
      <w:r w:rsidRPr="00EA356B">
        <w:rPr>
          <w:iCs/>
        </w:rPr>
        <w:t xml:space="preserve">, the SSC </w:t>
      </w:r>
      <w:r>
        <w:rPr>
          <w:iCs/>
        </w:rPr>
        <w:t>S-M-PHM</w:t>
      </w:r>
      <w:r w:rsidRPr="00EA356B">
        <w:rPr>
          <w:iCs/>
        </w:rPr>
        <w:t xml:space="preserve"> strategy needs to be updated. Two possible courses of action can be followed: increase the </w:t>
      </w:r>
      <w:r w:rsidR="00BF0CD3">
        <w:rPr>
          <w:iCs/>
        </w:rPr>
        <w:t xml:space="preserve">inspection </w:t>
      </w:r>
      <w:r w:rsidRPr="00EA356B">
        <w:rPr>
          <w:iCs/>
        </w:rPr>
        <w:t>frequency (i.e., reduce ∆</w:t>
      </w:r>
      <w:r w:rsidRPr="00EA356B">
        <w:rPr>
          <w:rFonts w:ascii="Cambria Math" w:hAnsi="Cambria Math" w:cs="Cambria Math"/>
          <w:iCs/>
        </w:rPr>
        <w:t>𝑇</w:t>
      </w:r>
      <w:r w:rsidRPr="00EA356B">
        <w:rPr>
          <w:iCs/>
        </w:rPr>
        <w:t>) or improve the monitoring system probability of detection (</w:t>
      </w:r>
      <m:oMath>
        <m:r>
          <w:rPr>
            <w:rFonts w:ascii="Cambria Math" w:hAnsi="Cambria Math"/>
          </w:rPr>
          <m:t>POD</m:t>
        </m:r>
      </m:oMath>
      <w:r w:rsidRPr="00EA356B">
        <w:rPr>
          <w:iCs/>
        </w:rPr>
        <w:t xml:space="preserve">) to allow for a more precise calculation of </w:t>
      </w:r>
      <w:r w:rsidRPr="00EA356B">
        <w:rPr>
          <w:iCs/>
        </w:rPr>
        <w:lastRenderedPageBreak/>
        <w:t xml:space="preserve">the probability of failure. If these changes result in a probability of failure that is still </w:t>
      </w:r>
      <w:r>
        <w:rPr>
          <w:iCs/>
        </w:rPr>
        <w:t>unacceptable</w:t>
      </w:r>
      <w:r w:rsidRPr="00EA356B">
        <w:rPr>
          <w:iCs/>
        </w:rPr>
        <w:t>, actions may be needed for the SSC form (i.e., its physical condition), such as repair or replacement.</w:t>
      </w:r>
    </w:p>
    <w:p w14:paraId="08574F06" w14:textId="77777777" w:rsidR="00CF76DB" w:rsidRPr="00EA356B" w:rsidRDefault="00CF76DB" w:rsidP="00CF76DB">
      <w:pPr>
        <w:pStyle w:val="Heading2"/>
      </w:pPr>
      <w:bookmarkStart w:id="14" w:name="_Toc162617540"/>
      <w:r w:rsidRPr="00EA356B">
        <w:t>SSC Under Continuous Monitoring</w:t>
      </w:r>
      <w:bookmarkEnd w:id="14"/>
    </w:p>
    <w:p w14:paraId="187F488A" w14:textId="5442A26D" w:rsidR="00CF76DB" w:rsidRPr="00EA356B" w:rsidRDefault="00CF76DB" w:rsidP="00CF76DB">
      <w:r w:rsidRPr="00EA356B">
        <w:fldChar w:fldCharType="begin"/>
      </w:r>
      <w:r w:rsidRPr="00EA356B">
        <w:instrText xml:space="preserve"> REF _Ref159411940 \h  \* MERGEFORMAT </w:instrText>
      </w:r>
      <w:r w:rsidRPr="00EA356B">
        <w:fldChar w:fldCharType="separate"/>
      </w:r>
      <w:r w:rsidR="00A53291" w:rsidRPr="00EA356B">
        <w:t>Figure</w:t>
      </w:r>
      <w:r w:rsidR="00A53291">
        <w:t> 6</w:t>
      </w:r>
      <w:r w:rsidRPr="00EA356B">
        <w:fldChar w:fldCharType="end"/>
      </w:r>
      <w:r w:rsidRPr="00EA356B">
        <w:t xml:space="preserve"> presents a scenario where SSC performance is monitored continuously. Once a flaw is detected, its progression continues to be monitored until the degradation progression reaches predefined limits; at this point, corrective actions to repair or replace the SSC are taken before the failure occurs. As indicated in </w:t>
      </w:r>
      <w:r w:rsidRPr="004E44AD">
        <w:t xml:space="preserve">Section </w:t>
      </w:r>
      <w:r w:rsidR="004E44AD" w:rsidRPr="004E44AD">
        <w:t>5</w:t>
      </w:r>
      <w:r w:rsidRPr="004E44AD">
        <w:t>, such</w:t>
      </w:r>
      <w:r w:rsidRPr="00EA356B">
        <w:t xml:space="preserve"> undesired events can occur if either the result of a flaw is not detected or if timely corrective actions are not taken before the event occurrence.</w:t>
      </w:r>
    </w:p>
    <w:p w14:paraId="0521182B" w14:textId="77777777" w:rsidR="00D53A1C" w:rsidRPr="00EA356B" w:rsidRDefault="00D53A1C" w:rsidP="00D53A1C">
      <w:pPr>
        <w:jc w:val="center"/>
      </w:pPr>
      <w:r w:rsidRPr="00EA356B">
        <w:rPr>
          <w:noProof/>
        </w:rPr>
        <w:drawing>
          <wp:inline distT="0" distB="0" distL="0" distR="0" wp14:anchorId="257EE208" wp14:editId="0FB22181">
            <wp:extent cx="3695438" cy="1539766"/>
            <wp:effectExtent l="0" t="0" r="0" b="0"/>
            <wp:docPr id="10866030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603027" name=""/>
                    <pic:cNvPicPr/>
                  </pic:nvPicPr>
                  <pic:blipFill>
                    <a:blip r:embed="rId15"/>
                    <a:stretch>
                      <a:fillRect/>
                    </a:stretch>
                  </pic:blipFill>
                  <pic:spPr>
                    <a:xfrm>
                      <a:off x="0" y="0"/>
                      <a:ext cx="3711627" cy="1546511"/>
                    </a:xfrm>
                    <a:prstGeom prst="rect">
                      <a:avLst/>
                    </a:prstGeom>
                  </pic:spPr>
                </pic:pic>
              </a:graphicData>
            </a:graphic>
          </wp:inline>
        </w:drawing>
      </w:r>
    </w:p>
    <w:p w14:paraId="61A8D84D" w14:textId="355405C7" w:rsidR="00D53A1C" w:rsidRPr="00EA356B" w:rsidRDefault="00D53A1C" w:rsidP="00D53A1C">
      <w:pPr>
        <w:pStyle w:val="Caption"/>
      </w:pPr>
      <w:bookmarkStart w:id="15" w:name="_Ref159411940"/>
      <w:bookmarkStart w:id="16" w:name="_Toc162617572"/>
      <w:r w:rsidRPr="00EA356B">
        <w:t>Figure</w:t>
      </w:r>
      <w:r w:rsidR="00A53291">
        <w:t> </w:t>
      </w:r>
      <w:r w:rsidRPr="00EA356B">
        <w:fldChar w:fldCharType="begin"/>
      </w:r>
      <w:r w:rsidRPr="00EA356B">
        <w:instrText xml:space="preserve"> SEQ Figure \* ARABIC </w:instrText>
      </w:r>
      <w:r w:rsidRPr="00EA356B">
        <w:fldChar w:fldCharType="separate"/>
      </w:r>
      <w:r w:rsidR="00A53291">
        <w:t>6</w:t>
      </w:r>
      <w:r w:rsidRPr="00EA356B">
        <w:fldChar w:fldCharType="end"/>
      </w:r>
      <w:bookmarkEnd w:id="15"/>
      <w:r w:rsidRPr="00EA356B">
        <w:t>. Temporal relations between data and decisions for an SSC under continuous monitoring.</w:t>
      </w:r>
      <w:bookmarkEnd w:id="16"/>
    </w:p>
    <w:p w14:paraId="50DC47F5" w14:textId="5F7BCE6C" w:rsidR="004E3F48" w:rsidRPr="00EA356B" w:rsidRDefault="004E3F48" w:rsidP="004E3F48">
      <w:pPr>
        <w:pStyle w:val="TableCaption"/>
      </w:pPr>
      <w:bookmarkStart w:id="17" w:name="_Ref159413585"/>
      <w:bookmarkStart w:id="18" w:name="_Ref159834841"/>
      <w:bookmarkStart w:id="19" w:name="_Toc162617577"/>
      <w:r w:rsidRPr="00EA356B">
        <w:t>Table</w:t>
      </w:r>
      <w:r w:rsidR="00A53291">
        <w:t> </w:t>
      </w:r>
      <w:r w:rsidRPr="00EA356B">
        <w:fldChar w:fldCharType="begin"/>
      </w:r>
      <w:r w:rsidRPr="00EA356B">
        <w:instrText xml:space="preserve"> SEQ Table \* ARABIC </w:instrText>
      </w:r>
      <w:r w:rsidRPr="00EA356B">
        <w:fldChar w:fldCharType="separate"/>
      </w:r>
      <w:r w:rsidR="00A53291">
        <w:t>2</w:t>
      </w:r>
      <w:r w:rsidRPr="00EA356B">
        <w:fldChar w:fldCharType="end"/>
      </w:r>
      <w:bookmarkEnd w:id="17"/>
      <w:bookmarkEnd w:id="18"/>
      <w:r w:rsidRPr="00EA356B">
        <w:t>. Reliability modeling parameters associated with an SSC under continuous monitoring.</w:t>
      </w:r>
      <w:bookmarkEnd w:id="19"/>
    </w:p>
    <w:tbl>
      <w:tblPr>
        <w:tblStyle w:val="TableGrid"/>
        <w:tblW w:w="9445" w:type="dxa"/>
        <w:jc w:val="center"/>
        <w:tblLook w:val="04A0" w:firstRow="1" w:lastRow="0" w:firstColumn="1" w:lastColumn="0" w:noHBand="0" w:noVBand="1"/>
      </w:tblPr>
      <w:tblGrid>
        <w:gridCol w:w="912"/>
        <w:gridCol w:w="2953"/>
        <w:gridCol w:w="5580"/>
      </w:tblGrid>
      <w:tr w:rsidR="004E3F48" w:rsidRPr="00A53291" w14:paraId="36B3A00A" w14:textId="77777777" w:rsidTr="004D3555">
        <w:trPr>
          <w:jc w:val="center"/>
        </w:trPr>
        <w:tc>
          <w:tcPr>
            <w:tcW w:w="912" w:type="dxa"/>
            <w:shd w:val="clear" w:color="auto" w:fill="D9D9D9" w:themeFill="background1" w:themeFillShade="D9"/>
          </w:tcPr>
          <w:p w14:paraId="2DC16523"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Symbol</w:t>
            </w:r>
          </w:p>
        </w:tc>
        <w:tc>
          <w:tcPr>
            <w:tcW w:w="2953" w:type="dxa"/>
            <w:shd w:val="clear" w:color="auto" w:fill="D9D9D9" w:themeFill="background1" w:themeFillShade="D9"/>
          </w:tcPr>
          <w:p w14:paraId="6F51AF1A"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Name</w:t>
            </w:r>
          </w:p>
        </w:tc>
        <w:tc>
          <w:tcPr>
            <w:tcW w:w="5580" w:type="dxa"/>
            <w:shd w:val="clear" w:color="auto" w:fill="D9D9D9" w:themeFill="background1" w:themeFillShade="D9"/>
          </w:tcPr>
          <w:p w14:paraId="2BB76BE9"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Notes</w:t>
            </w:r>
          </w:p>
        </w:tc>
      </w:tr>
      <w:tr w:rsidR="004E3F48" w:rsidRPr="00A53291" w14:paraId="2C5CF81C" w14:textId="77777777" w:rsidTr="004D3555">
        <w:trPr>
          <w:jc w:val="center"/>
        </w:trPr>
        <w:tc>
          <w:tcPr>
            <w:tcW w:w="912" w:type="dxa"/>
            <w:vAlign w:val="center"/>
          </w:tcPr>
          <w:p w14:paraId="240F63AB" w14:textId="77777777" w:rsidR="004E3F48" w:rsidRPr="00A53291" w:rsidRDefault="00000000" w:rsidP="00A53291">
            <w:pPr>
              <w:pStyle w:val="Table"/>
              <w:rPr>
                <w:rFonts w:ascii="Times New Roman" w:hAnsi="Times New Roman" w:cs="Times New Roman"/>
              </w:rPr>
            </w:pPr>
            <m:oMathPara>
              <m:oMath>
                <m:sSub>
                  <m:sSubPr>
                    <m:ctrlPr>
                      <w:rPr>
                        <w:rFonts w:ascii="Cambria Math" w:hAnsi="Cambria Math" w:cs="Times New Roman"/>
                      </w:rPr>
                    </m:ctrlPr>
                  </m:sSubPr>
                  <m:e>
                    <m:r>
                      <w:rPr>
                        <w:rFonts w:ascii="Cambria Math" w:hAnsi="Cambria Math" w:cs="Times New Roman"/>
                      </w:rPr>
                      <m:t>r</m:t>
                    </m:r>
                  </m:e>
                  <m:sub>
                    <m:r>
                      <w:rPr>
                        <w:rFonts w:ascii="Cambria Math" w:hAnsi="Cambria Math" w:cs="Times New Roman"/>
                      </w:rPr>
                      <m:t>flaw</m:t>
                    </m:r>
                  </m:sub>
                </m:sSub>
              </m:oMath>
            </m:oMathPara>
          </w:p>
        </w:tc>
        <w:tc>
          <w:tcPr>
            <w:tcW w:w="2953" w:type="dxa"/>
            <w:vAlign w:val="center"/>
          </w:tcPr>
          <w:p w14:paraId="7D6F6E42"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Probabilistic rate of flaw occurrence</w:t>
            </w:r>
          </w:p>
        </w:tc>
        <w:tc>
          <w:tcPr>
            <w:tcW w:w="5580" w:type="dxa"/>
          </w:tcPr>
          <w:p w14:paraId="36E5E3B2"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 xml:space="preserve">The occurrence of flaw in an SSC is considered aleatory in nature </w:t>
            </w:r>
          </w:p>
        </w:tc>
      </w:tr>
      <w:tr w:rsidR="004E3F48" w:rsidRPr="00A53291" w14:paraId="6DA19972" w14:textId="77777777" w:rsidTr="004D3555">
        <w:trPr>
          <w:jc w:val="center"/>
        </w:trPr>
        <w:tc>
          <w:tcPr>
            <w:tcW w:w="912" w:type="dxa"/>
            <w:vAlign w:val="center"/>
          </w:tcPr>
          <w:p w14:paraId="05A718DA" w14:textId="77777777" w:rsidR="004E3F48" w:rsidRPr="00A53291" w:rsidRDefault="00000000" w:rsidP="00A53291">
            <w:pPr>
              <w:pStyle w:val="Table"/>
              <w:rPr>
                <w:rFonts w:ascii="Times New Roman" w:hAnsi="Times New Roman" w:cs="Times New Roman"/>
              </w:rPr>
            </w:pPr>
            <m:oMathPara>
              <m:oMath>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flaw</m:t>
                    </m:r>
                  </m:sub>
                </m:sSub>
              </m:oMath>
            </m:oMathPara>
          </w:p>
        </w:tc>
        <w:tc>
          <w:tcPr>
            <w:tcW w:w="2953" w:type="dxa"/>
            <w:vAlign w:val="center"/>
          </w:tcPr>
          <w:p w14:paraId="76710C07"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Flaw temporal progression</w:t>
            </w:r>
          </w:p>
        </w:tc>
        <w:tc>
          <w:tcPr>
            <w:tcW w:w="5580" w:type="dxa"/>
          </w:tcPr>
          <w:p w14:paraId="69E76885" w14:textId="358C78CE"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The estimated time for a flaw to cause the undesired event</w:t>
            </w:r>
          </w:p>
        </w:tc>
      </w:tr>
      <w:tr w:rsidR="004E3F48" w:rsidRPr="00A53291" w14:paraId="0DB31CD7" w14:textId="77777777" w:rsidTr="004D3555">
        <w:trPr>
          <w:jc w:val="center"/>
        </w:trPr>
        <w:tc>
          <w:tcPr>
            <w:tcW w:w="912" w:type="dxa"/>
            <w:vAlign w:val="center"/>
          </w:tcPr>
          <w:p w14:paraId="6B88902A" w14:textId="77777777" w:rsidR="004E3F48" w:rsidRPr="00A53291" w:rsidRDefault="00000000" w:rsidP="00A53291">
            <w:pPr>
              <w:pStyle w:val="Table"/>
              <w:rPr>
                <w:rFonts w:ascii="Times New Roman" w:hAnsi="Times New Roman" w:cs="Times New Roman"/>
              </w:rPr>
            </w:pPr>
            <m:oMathPara>
              <m:oMath>
                <m:sSub>
                  <m:sSubPr>
                    <m:ctrlPr>
                      <w:rPr>
                        <w:rFonts w:ascii="Cambria Math" w:hAnsi="Cambria Math" w:cs="Times New Roman"/>
                      </w:rPr>
                    </m:ctrlPr>
                  </m:sSubPr>
                  <m:e>
                    <m:r>
                      <w:rPr>
                        <w:rFonts w:ascii="Cambria Math" w:hAnsi="Cambria Math" w:cs="Times New Roman"/>
                      </w:rPr>
                      <m:t>U</m:t>
                    </m:r>
                  </m:e>
                  <m:sub>
                    <m:r>
                      <w:rPr>
                        <w:rFonts w:ascii="Cambria Math" w:hAnsi="Cambria Math" w:cs="Times New Roman"/>
                      </w:rPr>
                      <m:t>monit</m:t>
                    </m:r>
                  </m:sub>
                </m:sSub>
              </m:oMath>
            </m:oMathPara>
          </w:p>
        </w:tc>
        <w:tc>
          <w:tcPr>
            <w:tcW w:w="2953" w:type="dxa"/>
            <w:vAlign w:val="center"/>
          </w:tcPr>
          <w:p w14:paraId="710F8EDF"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Unavailability of monitoring system</w:t>
            </w:r>
          </w:p>
        </w:tc>
        <w:tc>
          <w:tcPr>
            <w:tcW w:w="5580" w:type="dxa"/>
          </w:tcPr>
          <w:p w14:paraId="7CE8E556"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This term includes unavailability caused by sensors and instrumentation and control system failure</w:t>
            </w:r>
          </w:p>
        </w:tc>
      </w:tr>
      <w:tr w:rsidR="004E3F48" w:rsidRPr="00A53291" w14:paraId="3DAC674D" w14:textId="77777777" w:rsidTr="004D3555">
        <w:trPr>
          <w:jc w:val="center"/>
        </w:trPr>
        <w:tc>
          <w:tcPr>
            <w:tcW w:w="912" w:type="dxa"/>
            <w:vAlign w:val="center"/>
          </w:tcPr>
          <w:p w14:paraId="2B661CAE" w14:textId="77777777" w:rsidR="004E3F48" w:rsidRPr="00A53291" w:rsidRDefault="004E3F48" w:rsidP="00A53291">
            <w:pPr>
              <w:pStyle w:val="Table"/>
              <w:rPr>
                <w:rFonts w:ascii="Times New Roman" w:hAnsi="Times New Roman" w:cs="Times New Roman"/>
              </w:rPr>
            </w:pPr>
            <m:oMathPara>
              <m:oMath>
                <m:r>
                  <w:rPr>
                    <w:rFonts w:ascii="Cambria Math" w:hAnsi="Cambria Math" w:cs="Times New Roman"/>
                  </w:rPr>
                  <m:t>POD</m:t>
                </m:r>
              </m:oMath>
            </m:oMathPara>
          </w:p>
        </w:tc>
        <w:tc>
          <w:tcPr>
            <w:tcW w:w="2953" w:type="dxa"/>
            <w:vAlign w:val="center"/>
          </w:tcPr>
          <w:p w14:paraId="0766F803"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Probability of flaw detection of the monitoring system</w:t>
            </w:r>
          </w:p>
        </w:tc>
        <w:tc>
          <w:tcPr>
            <w:tcW w:w="5580" w:type="dxa"/>
          </w:tcPr>
          <w:p w14:paraId="1445326E"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 xml:space="preserve">The probability of flaw detection is considered aleatory in nature and the estimated performance of the detection system is based on past operational experience and testing </w:t>
            </w:r>
          </w:p>
        </w:tc>
      </w:tr>
      <w:tr w:rsidR="004E3F48" w:rsidRPr="00A53291" w14:paraId="02410667" w14:textId="77777777" w:rsidTr="002C3F7E">
        <w:trPr>
          <w:jc w:val="center"/>
        </w:trPr>
        <w:tc>
          <w:tcPr>
            <w:tcW w:w="912" w:type="dxa"/>
            <w:vAlign w:val="center"/>
          </w:tcPr>
          <w:p w14:paraId="1A03B770" w14:textId="77777777" w:rsidR="004E3F48" w:rsidRPr="00A53291" w:rsidRDefault="00000000" w:rsidP="00A53291">
            <w:pPr>
              <w:pStyle w:val="Table"/>
              <w:rPr>
                <w:rFonts w:ascii="Times New Roman" w:hAnsi="Times New Roman" w:cs="Times New Roman"/>
              </w:rPr>
            </w:pPr>
            <m:oMathPara>
              <m:oMath>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corr</m:t>
                    </m:r>
                  </m:sub>
                </m:sSub>
              </m:oMath>
            </m:oMathPara>
          </w:p>
        </w:tc>
        <w:tc>
          <w:tcPr>
            <w:tcW w:w="2953" w:type="dxa"/>
            <w:vAlign w:val="center"/>
          </w:tcPr>
          <w:p w14:paraId="1BA0FB96" w14:textId="77777777" w:rsidR="004E3F48" w:rsidRPr="00A53291" w:rsidRDefault="004E3F48" w:rsidP="00A53291">
            <w:pPr>
              <w:pStyle w:val="Table"/>
              <w:rPr>
                <w:rFonts w:ascii="Times New Roman" w:hAnsi="Times New Roman" w:cs="Times New Roman"/>
              </w:rPr>
            </w:pPr>
            <w:r w:rsidRPr="00A53291">
              <w:rPr>
                <w:rFonts w:ascii="Times New Roman" w:hAnsi="Times New Roman" w:cs="Times New Roman"/>
              </w:rPr>
              <w:t>Time required to take appropriate corrective actions</w:t>
            </w:r>
          </w:p>
        </w:tc>
        <w:tc>
          <w:tcPr>
            <w:tcW w:w="5580" w:type="dxa"/>
            <w:vAlign w:val="center"/>
          </w:tcPr>
          <w:p w14:paraId="09E0704E" w14:textId="45DA5F8C" w:rsidR="004E3F48" w:rsidRPr="00A53291" w:rsidRDefault="002C3F7E" w:rsidP="002C3F7E">
            <w:pPr>
              <w:pStyle w:val="Table"/>
              <w:jc w:val="left"/>
              <w:rPr>
                <w:rFonts w:ascii="Times New Roman" w:hAnsi="Times New Roman" w:cs="Times New Roman"/>
              </w:rPr>
            </w:pPr>
            <w:r>
              <w:rPr>
                <w:rFonts w:ascii="Times New Roman" w:hAnsi="Times New Roman" w:cs="Times New Roman"/>
              </w:rPr>
              <w:t>T</w:t>
            </w:r>
            <w:r w:rsidR="004E3F48" w:rsidRPr="00A53291">
              <w:rPr>
                <w:rFonts w:ascii="Times New Roman" w:hAnsi="Times New Roman" w:cs="Times New Roman"/>
              </w:rPr>
              <w:t>ime estimated based on past operational experience</w:t>
            </w:r>
          </w:p>
        </w:tc>
      </w:tr>
    </w:tbl>
    <w:p w14:paraId="660E81D0" w14:textId="0D789BDF" w:rsidR="00CF76DB" w:rsidRPr="00EA356B" w:rsidRDefault="00CF76DB" w:rsidP="00CF76DB">
      <w:r w:rsidRPr="00EA356B">
        <w:t xml:space="preserve">Given the information provided in </w:t>
      </w:r>
      <w:r w:rsidRPr="00EA356B">
        <w:fldChar w:fldCharType="begin"/>
      </w:r>
      <w:r w:rsidRPr="00EA356B">
        <w:instrText xml:space="preserve"> REF _Ref159834841 \h  \* MERGEFORMAT </w:instrText>
      </w:r>
      <w:r w:rsidRPr="00EA356B">
        <w:fldChar w:fldCharType="separate"/>
      </w:r>
      <w:r w:rsidR="00A53291" w:rsidRPr="00EA356B">
        <w:t>Table</w:t>
      </w:r>
      <w:r w:rsidR="00A53291">
        <w:t> 2</w:t>
      </w:r>
      <w:r w:rsidRPr="00EA356B">
        <w:fldChar w:fldCharType="end"/>
      </w:r>
      <w:r w:rsidRPr="00EA356B">
        <w:t xml:space="preserve">, the SSC reliability under continuous monitoring is here indicated as </w:t>
      </w:r>
      <m:oMath>
        <m:r>
          <w:rPr>
            <w:rFonts w:ascii="Cambria Math" w:hAnsi="Cambria Math"/>
          </w:rPr>
          <m:t>Prob</m:t>
        </m:r>
        <m:d>
          <m:dPr>
            <m:ctrlPr>
              <w:rPr>
                <w:rFonts w:ascii="Cambria Math" w:hAnsi="Cambria Math"/>
                <w:i/>
                <w:iCs/>
              </w:rPr>
            </m:ctrlPr>
          </m:dPr>
          <m:e>
            <m:r>
              <w:rPr>
                <w:rFonts w:ascii="Cambria Math" w:hAnsi="Cambria Math"/>
              </w:rPr>
              <m:t>event</m:t>
            </m:r>
          </m:e>
        </m:d>
      </m:oMath>
      <w:r w:rsidRPr="00EA356B">
        <w:rPr>
          <w:iCs/>
        </w:rPr>
        <w:t>, which indicates the probability associated with the occurrence of the SSC undesired event</w:t>
      </w:r>
      <w:r w:rsidRPr="00EA356B">
        <w:t>; this term can be computed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55"/>
        <w:gridCol w:w="895"/>
      </w:tblGrid>
      <w:tr w:rsidR="00CF76DB" w:rsidRPr="004D7781" w14:paraId="3BB8ECAF" w14:textId="77777777" w:rsidTr="00A9464C">
        <w:tc>
          <w:tcPr>
            <w:tcW w:w="8455" w:type="dxa"/>
          </w:tcPr>
          <w:p w14:paraId="559704CB" w14:textId="77777777" w:rsidR="00CF76DB" w:rsidRPr="004D7781" w:rsidRDefault="00CF76DB" w:rsidP="004D7781">
            <w:pPr>
              <w:pStyle w:val="Equation"/>
              <w:rPr>
                <w:rFonts w:ascii="Cambria Math" w:hAnsi="Cambria Math" w:cs="Times New Roman"/>
                <w:szCs w:val="22"/>
              </w:rPr>
            </w:pPr>
            <m:oMathPara>
              <m:oMathParaPr>
                <m:jc m:val="centerGroup"/>
              </m:oMathParaPr>
              <m:oMath>
                <m:r>
                  <w:rPr>
                    <w:rFonts w:ascii="Cambria Math" w:hAnsi="Cambria Math" w:cs="Times New Roman"/>
                    <w:szCs w:val="22"/>
                  </w:rPr>
                  <m:t>Prob</m:t>
                </m:r>
                <m:d>
                  <m:dPr>
                    <m:ctrlPr>
                      <w:rPr>
                        <w:rFonts w:ascii="Cambria Math" w:hAnsi="Cambria Math" w:cs="Times New Roman"/>
                        <w:szCs w:val="22"/>
                      </w:rPr>
                    </m:ctrlPr>
                  </m:dPr>
                  <m:e>
                    <m:r>
                      <w:rPr>
                        <w:rFonts w:ascii="Cambria Math" w:hAnsi="Cambria Math" w:cs="Times New Roman"/>
                        <w:szCs w:val="22"/>
                      </w:rPr>
                      <m:t>event</m:t>
                    </m:r>
                  </m:e>
                </m:d>
                <m:r>
                  <m:rPr>
                    <m:sty m:val="p"/>
                  </m:rPr>
                  <w:rPr>
                    <w:rFonts w:ascii="Cambria Math" w:hAnsi="Cambria Math" w:cs="Times New Roman"/>
                    <w:szCs w:val="22"/>
                  </w:rPr>
                  <m:t>=</m:t>
                </m:r>
                <m:r>
                  <w:rPr>
                    <w:rFonts w:ascii="Cambria Math" w:hAnsi="Cambria Math" w:cs="Times New Roman"/>
                    <w:szCs w:val="22"/>
                  </w:rPr>
                  <m:t>Prob</m:t>
                </m:r>
                <m:d>
                  <m:dPr>
                    <m:ctrlPr>
                      <w:rPr>
                        <w:rFonts w:ascii="Cambria Math" w:hAnsi="Cambria Math" w:cs="Times New Roman"/>
                        <w:szCs w:val="22"/>
                      </w:rPr>
                    </m:ctrlPr>
                  </m:dPr>
                  <m:e>
                    <m:r>
                      <w:rPr>
                        <w:rFonts w:ascii="Cambria Math" w:hAnsi="Cambria Math" w:cs="Times New Roman"/>
                        <w:szCs w:val="22"/>
                      </w:rPr>
                      <m:t>no</m:t>
                    </m:r>
                    <m:r>
                      <m:rPr>
                        <m:sty m:val="p"/>
                      </m:rPr>
                      <w:rPr>
                        <w:rFonts w:ascii="Cambria Math" w:hAnsi="Cambria Math" w:cs="Times New Roman"/>
                        <w:szCs w:val="22"/>
                      </w:rPr>
                      <m:t>_</m:t>
                    </m:r>
                    <m:r>
                      <w:rPr>
                        <w:rFonts w:ascii="Cambria Math" w:hAnsi="Cambria Math" w:cs="Times New Roman"/>
                        <w:szCs w:val="22"/>
                      </w:rPr>
                      <m:t>detection</m:t>
                    </m:r>
                  </m:e>
                </m:d>
                <m:r>
                  <m:rPr>
                    <m:sty m:val="p"/>
                  </m:rPr>
                  <w:rPr>
                    <w:rFonts w:ascii="Cambria Math" w:hAnsi="Cambria Math" w:cs="Times New Roman"/>
                    <w:szCs w:val="22"/>
                  </w:rPr>
                  <m:t>+</m:t>
                </m:r>
                <m:r>
                  <w:rPr>
                    <w:rFonts w:ascii="Cambria Math" w:hAnsi="Cambria Math" w:cs="Times New Roman"/>
                    <w:szCs w:val="22"/>
                  </w:rPr>
                  <m:t>P</m:t>
                </m:r>
                <m:d>
                  <m:dPr>
                    <m:ctrlPr>
                      <w:rPr>
                        <w:rFonts w:ascii="Cambria Math" w:hAnsi="Cambria Math" w:cs="Times New Roman"/>
                        <w:szCs w:val="22"/>
                      </w:rPr>
                    </m:ctrlPr>
                  </m:dPr>
                  <m:e>
                    <m:r>
                      <w:rPr>
                        <w:rFonts w:ascii="Cambria Math" w:hAnsi="Cambria Math" w:cs="Times New Roman"/>
                        <w:szCs w:val="22"/>
                      </w:rPr>
                      <m:t>no</m:t>
                    </m:r>
                    <m:r>
                      <m:rPr>
                        <m:sty m:val="p"/>
                      </m:rPr>
                      <w:rPr>
                        <w:rFonts w:ascii="Cambria Math" w:hAnsi="Cambria Math" w:cs="Times New Roman"/>
                        <w:szCs w:val="22"/>
                      </w:rPr>
                      <m:t>_</m:t>
                    </m:r>
                    <m:r>
                      <w:rPr>
                        <w:rFonts w:ascii="Cambria Math" w:hAnsi="Cambria Math" w:cs="Times New Roman"/>
                        <w:szCs w:val="22"/>
                      </w:rPr>
                      <m:t>timely</m:t>
                    </m:r>
                    <m:r>
                      <m:rPr>
                        <m:sty m:val="p"/>
                      </m:rPr>
                      <w:rPr>
                        <w:rFonts w:ascii="Cambria Math" w:hAnsi="Cambria Math" w:cs="Times New Roman"/>
                        <w:szCs w:val="22"/>
                      </w:rPr>
                      <m:t>_</m:t>
                    </m:r>
                    <m:r>
                      <w:rPr>
                        <w:rFonts w:ascii="Cambria Math" w:hAnsi="Cambria Math" w:cs="Times New Roman"/>
                        <w:szCs w:val="22"/>
                      </w:rPr>
                      <m:t>reaction</m:t>
                    </m:r>
                  </m:e>
                </m:d>
                <m:r>
                  <m:rPr>
                    <m:sty m:val="p"/>
                  </m:rPr>
                  <w:rPr>
                    <w:rFonts w:ascii="Cambria Math" w:hAnsi="Cambria Math" w:cs="Times New Roman"/>
                    <w:szCs w:val="22"/>
                  </w:rPr>
                  <m:t>=</m:t>
                </m:r>
              </m:oMath>
            </m:oMathPara>
          </w:p>
          <w:p w14:paraId="1D9FBFBB" w14:textId="6FDF8AAF" w:rsidR="00CF76DB" w:rsidRPr="004D7781" w:rsidRDefault="00CF76DB" w:rsidP="004D7781">
            <w:pPr>
              <w:pStyle w:val="Equation"/>
              <w:rPr>
                <w:rFonts w:ascii="Cambria Math" w:hAnsi="Cambria Math" w:cs="Times New Roman"/>
                <w:szCs w:val="22"/>
              </w:rPr>
            </w:pPr>
            <w:r w:rsidRPr="004D7781">
              <w:rPr>
                <w:rFonts w:ascii="Cambria Math" w:hAnsi="Cambria Math" w:cs="Times New Roman"/>
                <w:szCs w:val="22"/>
              </w:rPr>
              <w:t xml:space="preserve">  </w:t>
            </w:r>
            <m:oMath>
              <m:r>
                <m:rPr>
                  <m:sty m:val="p"/>
                </m:rPr>
                <w:rPr>
                  <w:rFonts w:ascii="Cambria Math" w:hAnsi="Cambria Math" w:cs="Times New Roman"/>
                  <w:szCs w:val="22"/>
                </w:rPr>
                <m:t>=</m:t>
              </m:r>
              <m:r>
                <w:rPr>
                  <w:rFonts w:ascii="Cambria Math" w:hAnsi="Cambria Math" w:cs="Times New Roman"/>
                  <w:szCs w:val="22"/>
                </w:rPr>
                <m:t>h</m:t>
              </m:r>
              <m:d>
                <m:dPr>
                  <m:ctrlPr>
                    <w:rPr>
                      <w:rFonts w:ascii="Cambria Math" w:hAnsi="Cambria Math" w:cs="Times New Roman"/>
                      <w:szCs w:val="22"/>
                    </w:rPr>
                  </m:ctrlPr>
                </m:dPr>
                <m:e>
                  <m:sSub>
                    <m:sSubPr>
                      <m:ctrlPr>
                        <w:rPr>
                          <w:rFonts w:ascii="Cambria Math" w:hAnsi="Cambria Math" w:cs="Times New Roman"/>
                          <w:szCs w:val="22"/>
                        </w:rPr>
                      </m:ctrlPr>
                    </m:sSubPr>
                    <m:e>
                      <m:r>
                        <w:rPr>
                          <w:rFonts w:ascii="Cambria Math" w:hAnsi="Cambria Math" w:cs="Times New Roman"/>
                          <w:szCs w:val="22"/>
                        </w:rPr>
                        <m:t>r</m:t>
                      </m:r>
                    </m:e>
                    <m:sub>
                      <m:r>
                        <w:rPr>
                          <w:rFonts w:ascii="Cambria Math" w:hAnsi="Cambria Math" w:cs="Times New Roman"/>
                          <w:szCs w:val="22"/>
                        </w:rPr>
                        <m:t>flaw</m:t>
                      </m:r>
                    </m:sub>
                  </m:sSub>
                  <m:r>
                    <m:rPr>
                      <m:sty m:val="p"/>
                    </m:rPr>
                    <w:rPr>
                      <w:rFonts w:ascii="Cambria Math" w:hAnsi="Cambria Math" w:cs="Times New Roman"/>
                      <w:szCs w:val="22"/>
                    </w:rPr>
                    <m:t>, </m:t>
                  </m:r>
                  <m:sSub>
                    <m:sSubPr>
                      <m:ctrlPr>
                        <w:rPr>
                          <w:rFonts w:ascii="Cambria Math" w:hAnsi="Cambria Math" w:cs="Times New Roman"/>
                          <w:szCs w:val="22"/>
                        </w:rPr>
                      </m:ctrlPr>
                    </m:sSubPr>
                    <m:e>
                      <m:r>
                        <w:rPr>
                          <w:rFonts w:ascii="Cambria Math" w:hAnsi="Cambria Math" w:cs="Times New Roman"/>
                          <w:szCs w:val="22"/>
                        </w:rPr>
                        <m:t>T</m:t>
                      </m:r>
                    </m:e>
                    <m:sub>
                      <m:r>
                        <w:rPr>
                          <w:rFonts w:ascii="Cambria Math" w:hAnsi="Cambria Math" w:cs="Times New Roman"/>
                          <w:szCs w:val="22"/>
                        </w:rPr>
                        <m:t>flaw</m:t>
                      </m:r>
                    </m:sub>
                  </m:sSub>
                  <m:r>
                    <m:rPr>
                      <m:sty m:val="p"/>
                    </m:rPr>
                    <w:rPr>
                      <w:rFonts w:ascii="Cambria Math" w:hAnsi="Cambria Math" w:cs="Times New Roman"/>
                      <w:szCs w:val="22"/>
                    </w:rPr>
                    <m:t>, </m:t>
                  </m:r>
                  <m:r>
                    <w:rPr>
                      <w:rFonts w:ascii="Cambria Math" w:hAnsi="Cambria Math" w:cs="Times New Roman"/>
                      <w:szCs w:val="22"/>
                    </w:rPr>
                    <m:t>POD</m:t>
                  </m:r>
                  <m:r>
                    <m:rPr>
                      <m:sty m:val="p"/>
                    </m:rPr>
                    <w:rPr>
                      <w:rFonts w:ascii="Cambria Math" w:hAnsi="Cambria Math" w:cs="Times New Roman"/>
                      <w:szCs w:val="22"/>
                    </w:rPr>
                    <m:t>, </m:t>
                  </m:r>
                  <m:sSub>
                    <m:sSubPr>
                      <m:ctrlPr>
                        <w:rPr>
                          <w:rFonts w:ascii="Cambria Math" w:hAnsi="Cambria Math" w:cs="Times New Roman"/>
                          <w:szCs w:val="22"/>
                        </w:rPr>
                      </m:ctrlPr>
                    </m:sSubPr>
                    <m:e>
                      <m:r>
                        <w:rPr>
                          <w:rFonts w:ascii="Cambria Math" w:hAnsi="Cambria Math" w:cs="Times New Roman"/>
                          <w:szCs w:val="22"/>
                        </w:rPr>
                        <m:t>U</m:t>
                      </m:r>
                    </m:e>
                    <m:sub>
                      <m:r>
                        <w:rPr>
                          <w:rFonts w:ascii="Cambria Math" w:hAnsi="Cambria Math" w:cs="Times New Roman"/>
                          <w:szCs w:val="22"/>
                        </w:rPr>
                        <m:t>monit</m:t>
                      </m:r>
                    </m:sub>
                  </m:sSub>
                </m:e>
              </m:d>
              <m:r>
                <m:rPr>
                  <m:sty m:val="p"/>
                </m:rPr>
                <w:rPr>
                  <w:rFonts w:ascii="Cambria Math" w:hAnsi="Cambria Math" w:cs="Times New Roman"/>
                  <w:szCs w:val="22"/>
                </w:rPr>
                <m:t>+</m:t>
              </m:r>
              <m:r>
                <w:rPr>
                  <w:rFonts w:ascii="Cambria Math" w:hAnsi="Cambria Math" w:cs="Times New Roman"/>
                  <w:szCs w:val="22"/>
                </w:rPr>
                <m:t>k</m:t>
              </m:r>
              <m:r>
                <m:rPr>
                  <m:sty m:val="p"/>
                </m:rPr>
                <w:rPr>
                  <w:rFonts w:ascii="Cambria Math" w:hAnsi="Cambria Math" w:cs="Times New Roman"/>
                  <w:szCs w:val="22"/>
                </w:rPr>
                <m:t>(</m:t>
              </m:r>
              <m:sSub>
                <m:sSubPr>
                  <m:ctrlPr>
                    <w:rPr>
                      <w:rFonts w:ascii="Cambria Math" w:hAnsi="Cambria Math" w:cs="Times New Roman"/>
                      <w:szCs w:val="22"/>
                    </w:rPr>
                  </m:ctrlPr>
                </m:sSubPr>
                <m:e>
                  <m:r>
                    <w:rPr>
                      <w:rFonts w:ascii="Cambria Math" w:hAnsi="Cambria Math" w:cs="Times New Roman"/>
                      <w:szCs w:val="22"/>
                    </w:rPr>
                    <m:t>U</m:t>
                  </m:r>
                </m:e>
                <m:sub>
                  <m:r>
                    <w:rPr>
                      <w:rFonts w:ascii="Cambria Math" w:hAnsi="Cambria Math" w:cs="Times New Roman"/>
                      <w:szCs w:val="22"/>
                    </w:rPr>
                    <m:t>monit</m:t>
                  </m:r>
                </m:sub>
              </m:sSub>
              <m:r>
                <m:rPr>
                  <m:sty m:val="p"/>
                </m:rPr>
                <w:rPr>
                  <w:rFonts w:ascii="Cambria Math" w:hAnsi="Cambria Math" w:cs="Times New Roman"/>
                  <w:szCs w:val="22"/>
                </w:rPr>
                <m:t>, </m:t>
              </m:r>
              <m:sSub>
                <m:sSubPr>
                  <m:ctrlPr>
                    <w:rPr>
                      <w:rFonts w:ascii="Cambria Math" w:hAnsi="Cambria Math" w:cs="Times New Roman"/>
                      <w:szCs w:val="22"/>
                    </w:rPr>
                  </m:ctrlPr>
                </m:sSubPr>
                <m:e>
                  <m:r>
                    <w:rPr>
                      <w:rFonts w:ascii="Cambria Math" w:hAnsi="Cambria Math" w:cs="Times New Roman"/>
                      <w:szCs w:val="22"/>
                    </w:rPr>
                    <m:t>T</m:t>
                  </m:r>
                </m:e>
                <m:sub>
                  <m:r>
                    <w:rPr>
                      <w:rFonts w:ascii="Cambria Math" w:hAnsi="Cambria Math" w:cs="Times New Roman"/>
                      <w:szCs w:val="22"/>
                    </w:rPr>
                    <m:t>corr</m:t>
                  </m:r>
                </m:sub>
              </m:sSub>
              <m:r>
                <m:rPr>
                  <m:sty m:val="p"/>
                </m:rPr>
                <w:rPr>
                  <w:rFonts w:ascii="Cambria Math" w:hAnsi="Cambria Math" w:cs="Times New Roman"/>
                  <w:szCs w:val="22"/>
                </w:rPr>
                <m:t>, </m:t>
              </m:r>
              <m:sSub>
                <m:sSubPr>
                  <m:ctrlPr>
                    <w:rPr>
                      <w:rFonts w:ascii="Cambria Math" w:hAnsi="Cambria Math" w:cs="Times New Roman"/>
                      <w:szCs w:val="22"/>
                    </w:rPr>
                  </m:ctrlPr>
                </m:sSubPr>
                <m:e>
                  <m:r>
                    <w:rPr>
                      <w:rFonts w:ascii="Cambria Math" w:hAnsi="Cambria Math" w:cs="Times New Roman"/>
                      <w:szCs w:val="22"/>
                    </w:rPr>
                    <m:t>T</m:t>
                  </m:r>
                </m:e>
                <m:sub>
                  <m:r>
                    <w:rPr>
                      <w:rFonts w:ascii="Cambria Math" w:hAnsi="Cambria Math" w:cs="Times New Roman"/>
                      <w:szCs w:val="22"/>
                    </w:rPr>
                    <m:t>flaw</m:t>
                  </m:r>
                </m:sub>
              </m:sSub>
              <m:r>
                <m:rPr>
                  <m:sty m:val="p"/>
                </m:rPr>
                <w:rPr>
                  <w:rFonts w:ascii="Cambria Math" w:hAnsi="Cambria Math" w:cs="Times New Roman"/>
                  <w:szCs w:val="22"/>
                </w:rPr>
                <m:t>)</m:t>
              </m:r>
            </m:oMath>
          </w:p>
        </w:tc>
        <w:tc>
          <w:tcPr>
            <w:tcW w:w="895" w:type="dxa"/>
            <w:vAlign w:val="center"/>
          </w:tcPr>
          <w:p w14:paraId="148B3690" w14:textId="77777777" w:rsidR="00CF76DB" w:rsidRPr="004D7781" w:rsidRDefault="00CF76DB" w:rsidP="004D7781">
            <w:pPr>
              <w:pStyle w:val="Equation"/>
              <w:rPr>
                <w:rFonts w:ascii="Cambria Math" w:hAnsi="Cambria Math" w:cs="Times New Roman"/>
                <w:szCs w:val="22"/>
              </w:rPr>
            </w:pPr>
            <w:r w:rsidRPr="004D7781">
              <w:rPr>
                <w:rFonts w:ascii="Cambria Math" w:hAnsi="Cambria Math" w:cs="Times New Roman"/>
                <w:szCs w:val="22"/>
              </w:rPr>
              <w:t>(2)</w:t>
            </w:r>
          </w:p>
        </w:tc>
      </w:tr>
    </w:tbl>
    <w:p w14:paraId="405CBC28" w14:textId="305ED6F8" w:rsidR="00CF76DB" w:rsidRPr="00EA356B" w:rsidRDefault="00CF76DB" w:rsidP="004D7781">
      <w:r w:rsidRPr="004D7781">
        <w:rPr>
          <w:rFonts w:ascii="Cambria Math" w:hAnsi="Cambria Math"/>
        </w:rPr>
        <w:t>whe</w:t>
      </w:r>
      <w:r w:rsidRPr="00EA356B">
        <w:t xml:space="preserve">re the </w:t>
      </w:r>
      <m:oMath>
        <m:r>
          <w:rPr>
            <w:rFonts w:ascii="Cambria Math" w:hAnsi="Cambria Math"/>
          </w:rPr>
          <m:t>h</m:t>
        </m:r>
        <m:d>
          <m:dPr>
            <m:ctrlPr>
              <w:rPr>
                <w:rFonts w:ascii="Cambria Math" w:hAnsi="Cambria Math"/>
                <w:i/>
              </w:rPr>
            </m:ctrlPr>
          </m:dPr>
          <m:e>
            <m:r>
              <w:rPr>
                <w:rFonts w:ascii="Cambria Math" w:hAnsi="Cambria Math"/>
              </w:rPr>
              <m:t>.</m:t>
            </m:r>
          </m:e>
        </m:d>
      </m:oMath>
      <w:r w:rsidRPr="00EA356B">
        <w:t xml:space="preserve"> and </w:t>
      </w:r>
      <m:oMath>
        <m:r>
          <w:rPr>
            <w:rFonts w:ascii="Cambria Math" w:hAnsi="Cambria Math"/>
          </w:rPr>
          <m:t>k</m:t>
        </m:r>
        <m:d>
          <m:dPr>
            <m:ctrlPr>
              <w:rPr>
                <w:rFonts w:ascii="Cambria Math" w:hAnsi="Cambria Math"/>
                <w:i/>
              </w:rPr>
            </m:ctrlPr>
          </m:dPr>
          <m:e>
            <m:r>
              <w:rPr>
                <w:rFonts w:ascii="Cambria Math" w:hAnsi="Cambria Math"/>
              </w:rPr>
              <m:t>.</m:t>
            </m:r>
          </m:e>
        </m:d>
      </m:oMath>
      <w:r w:rsidRPr="00EA356B">
        <w:t xml:space="preserve"> functions </w:t>
      </w:r>
      <w:r w:rsidR="00202A83">
        <w:t xml:space="preserve">respectively </w:t>
      </w:r>
      <w:r w:rsidRPr="00EA356B">
        <w:t xml:space="preserve">indicate the probability that the result of a flaw is not detected (i.e., </w:t>
      </w:r>
      <m:oMath>
        <m:r>
          <w:rPr>
            <w:rFonts w:ascii="Cambria Math" w:hAnsi="Cambria Math"/>
          </w:rPr>
          <m:t>Prob</m:t>
        </m:r>
        <m:d>
          <m:dPr>
            <m:ctrlPr>
              <w:rPr>
                <w:rFonts w:ascii="Cambria Math" w:hAnsi="Cambria Math"/>
                <w:i/>
              </w:rPr>
            </m:ctrlPr>
          </m:dPr>
          <m:e>
            <m:r>
              <w:rPr>
                <w:rFonts w:ascii="Cambria Math" w:hAnsi="Cambria Math"/>
              </w:rPr>
              <m:t>no_detection</m:t>
            </m:r>
          </m:e>
        </m:d>
      </m:oMath>
      <w:r w:rsidRPr="00EA356B">
        <w:t>)</w:t>
      </w:r>
      <w:r w:rsidR="00202A83">
        <w:t>,</w:t>
      </w:r>
      <w:r w:rsidRPr="00EA356B">
        <w:t xml:space="preserve"> and the probability that corrective actions are not be performed before SSC failure (i.e., </w:t>
      </w:r>
      <m:oMath>
        <m:r>
          <w:rPr>
            <w:rFonts w:ascii="Cambria Math" w:hAnsi="Cambria Math"/>
          </w:rPr>
          <m:t>P</m:t>
        </m:r>
        <m:d>
          <m:dPr>
            <m:ctrlPr>
              <w:rPr>
                <w:rFonts w:ascii="Cambria Math" w:hAnsi="Cambria Math"/>
                <w:i/>
              </w:rPr>
            </m:ctrlPr>
          </m:dPr>
          <m:e>
            <m:r>
              <w:rPr>
                <w:rFonts w:ascii="Cambria Math" w:hAnsi="Cambria Math"/>
              </w:rPr>
              <m:t>no_timely_reaction</m:t>
            </m:r>
          </m:e>
        </m:d>
      </m:oMath>
      <w:r w:rsidRPr="00EA356B">
        <w:t>).</w:t>
      </w:r>
    </w:p>
    <w:p w14:paraId="40AB286B" w14:textId="3CF12164" w:rsidR="00CF76DB" w:rsidRPr="00EA356B" w:rsidRDefault="00CF76DB" w:rsidP="00CF76DB">
      <w:pPr>
        <w:rPr>
          <w:iCs/>
        </w:rPr>
      </w:pPr>
      <w:r w:rsidRPr="00EA356B">
        <w:rPr>
          <w:iCs/>
        </w:rPr>
        <w:t xml:space="preserve">At this point, </w:t>
      </w:r>
      <m:oMath>
        <m:r>
          <w:rPr>
            <w:rFonts w:ascii="Cambria Math" w:hAnsi="Cambria Math"/>
          </w:rPr>
          <m:t>Prob</m:t>
        </m:r>
        <m:d>
          <m:dPr>
            <m:ctrlPr>
              <w:rPr>
                <w:rFonts w:ascii="Cambria Math" w:hAnsi="Cambria Math"/>
                <w:i/>
                <w:iCs/>
              </w:rPr>
            </m:ctrlPr>
          </m:dPr>
          <m:e>
            <m:r>
              <w:rPr>
                <w:rFonts w:ascii="Cambria Math" w:hAnsi="Cambria Math"/>
              </w:rPr>
              <m:t>event</m:t>
            </m:r>
          </m:e>
        </m:d>
      </m:oMath>
      <w:r w:rsidRPr="00EA356B">
        <w:rPr>
          <w:iCs/>
        </w:rPr>
        <w:t xml:space="preserve"> is compared to the target; if </w:t>
      </w:r>
      <w:r w:rsidRPr="00EA356B">
        <w:rPr>
          <w:rFonts w:ascii="Cambria Math" w:hAnsi="Cambria Math" w:cs="Cambria Math"/>
          <w:iCs/>
        </w:rPr>
        <w:t>𝑃𝑟𝑜𝑏</w:t>
      </w:r>
      <w:r w:rsidRPr="00EA356B">
        <w:rPr>
          <w:iCs/>
        </w:rPr>
        <w:t>(</w:t>
      </w:r>
      <w:r w:rsidRPr="00EA356B">
        <w:rPr>
          <w:rFonts w:ascii="Cambria Math" w:hAnsi="Cambria Math" w:cs="Cambria Math"/>
          <w:iCs/>
        </w:rPr>
        <w:t>𝑒𝑣𝑒𝑛𝑡</w:t>
      </w:r>
      <w:r w:rsidRPr="00EA356B">
        <w:rPr>
          <w:iCs/>
        </w:rPr>
        <w:t xml:space="preserve">) is above the target, the SSC </w:t>
      </w:r>
      <w:r w:rsidR="00B15B4E">
        <w:rPr>
          <w:iCs/>
        </w:rPr>
        <w:t>monitoring</w:t>
      </w:r>
      <w:r w:rsidRPr="00EA356B">
        <w:rPr>
          <w:iCs/>
        </w:rPr>
        <w:t xml:space="preserve"> strategy needs to be updated. Two possible courses of action can be followed: improve monitoring performance (i.e., POD) or improve monitoring system availability to allow for a more precise calculation of the probability of failure. If these changes in the </w:t>
      </w:r>
      <w:r w:rsidR="00B15B4E">
        <w:rPr>
          <w:iCs/>
        </w:rPr>
        <w:t>monitoring</w:t>
      </w:r>
      <w:r w:rsidRPr="00EA356B">
        <w:rPr>
          <w:iCs/>
        </w:rPr>
        <w:t xml:space="preserve"> strategy result in a probability </w:t>
      </w:r>
      <w:r w:rsidRPr="00EA356B">
        <w:rPr>
          <w:iCs/>
        </w:rPr>
        <w:lastRenderedPageBreak/>
        <w:t>of failure that is still above the target, actions may be needed for the SSC form (i.e., its physical condition), such as repair or replacement.</w:t>
      </w:r>
    </w:p>
    <w:p w14:paraId="46A385F4" w14:textId="36EE5D49" w:rsidR="00CF76DB" w:rsidRDefault="00CF76DB" w:rsidP="00CF76DB">
      <w:pPr>
        <w:pStyle w:val="Heading1"/>
      </w:pPr>
      <w:r>
        <w:t>SSC RELIABILITY UNDER S-M-PHM PROGRAM</w:t>
      </w:r>
    </w:p>
    <w:p w14:paraId="540D1BE9" w14:textId="3EF19E61" w:rsidR="0014680C" w:rsidRDefault="0014680C" w:rsidP="00EA356B">
      <w:r>
        <w:t xml:space="preserve">At this point we can combine the observations presented in </w:t>
      </w:r>
      <w:r w:rsidR="00CF76DB">
        <w:t>S</w:t>
      </w:r>
      <w:r>
        <w:t>ection</w:t>
      </w:r>
      <w:r w:rsidR="004E3F48">
        <w:t>s</w:t>
      </w:r>
      <w:r w:rsidR="00CF76DB">
        <w:t xml:space="preserve"> 4 and 5 to measure reliability</w:t>
      </w:r>
      <w:r w:rsidR="00C2041B">
        <w:t xml:space="preserve">, in probabilistic terms such as failure probability, </w:t>
      </w:r>
      <w:r w:rsidR="00CF76DB">
        <w:t>of an SSC under an S-M-PHM program.</w:t>
      </w:r>
      <w:r w:rsidR="00C2041B">
        <w:t xml:space="preserve"> As shown in </w:t>
      </w:r>
      <w:r w:rsidR="00C2041B">
        <w:fldChar w:fldCharType="begin"/>
      </w:r>
      <w:r w:rsidR="00C2041B">
        <w:instrText xml:space="preserve"> REF _Ref188460344 \h </w:instrText>
      </w:r>
      <w:r w:rsidR="00C2041B">
        <w:fldChar w:fldCharType="separate"/>
      </w:r>
      <w:r w:rsidR="00F23357">
        <w:t>Figure </w:t>
      </w:r>
      <w:r w:rsidR="00F23357">
        <w:rPr>
          <w:noProof/>
        </w:rPr>
        <w:t>7</w:t>
      </w:r>
      <w:r w:rsidR="00C2041B">
        <w:fldChar w:fldCharType="end"/>
      </w:r>
      <w:r w:rsidR="00C2041B">
        <w:t>, it consists of three elements:</w:t>
      </w:r>
    </w:p>
    <w:p w14:paraId="1B8E3D3E" w14:textId="49460631" w:rsidR="00C2041B" w:rsidRDefault="00C2041B" w:rsidP="00C2041B">
      <w:pPr>
        <w:pStyle w:val="ListParagraph"/>
        <w:numPr>
          <w:ilvl w:val="0"/>
          <w:numId w:val="15"/>
        </w:numPr>
      </w:pPr>
      <w:r>
        <w:t>The probability of failure induced by degradation phenomena and directly observed from SSC health and performance data. In such a case</w:t>
      </w:r>
      <w:r w:rsidR="004E3F48">
        <w:t>,</w:t>
      </w:r>
      <w:r>
        <w:t xml:space="preserve"> a margin-based consideration is used to assess such </w:t>
      </w:r>
      <w:r w:rsidR="004E3F48">
        <w:t xml:space="preserve">a </w:t>
      </w:r>
      <w:r>
        <w:t>probability value (see Section 3).</w:t>
      </w:r>
    </w:p>
    <w:p w14:paraId="219C36CA" w14:textId="14098EBE" w:rsidR="00C2041B" w:rsidRDefault="00C2041B" w:rsidP="00C2041B">
      <w:pPr>
        <w:pStyle w:val="ListParagraph"/>
        <w:numPr>
          <w:ilvl w:val="0"/>
          <w:numId w:val="15"/>
        </w:numPr>
      </w:pPr>
      <w:r>
        <w:t>The probability of failure induced by the fact that the S-M-PHM program is unable to detect the effect of the degradation phenomena (see Section 4).</w:t>
      </w:r>
    </w:p>
    <w:p w14:paraId="0011D489" w14:textId="00CBFA5C" w:rsidR="008244B2" w:rsidRDefault="008244B2" w:rsidP="00C2041B">
      <w:pPr>
        <w:pStyle w:val="ListParagraph"/>
        <w:numPr>
          <w:ilvl w:val="0"/>
          <w:numId w:val="15"/>
        </w:numPr>
      </w:pPr>
      <w:r>
        <w:t>The probability of failure induced by the fact that the O&amp;M program is unable to timely operate on the SSC to restore SSC conditions.</w:t>
      </w:r>
    </w:p>
    <w:p w14:paraId="52076DC1" w14:textId="1EEA71C9" w:rsidR="00C2041B" w:rsidRPr="00EA356B" w:rsidRDefault="00C2041B" w:rsidP="00C2041B">
      <w:r>
        <w:t>Note that these three elements are mutually exclusive and, hence, they can</w:t>
      </w:r>
      <w:r w:rsidR="008244B2">
        <w:t xml:space="preserve"> be</w:t>
      </w:r>
      <w:r>
        <w:t xml:space="preserve"> directly sum</w:t>
      </w:r>
      <w:r w:rsidR="008244B2">
        <w:t>med</w:t>
      </w:r>
      <w:r>
        <w:t xml:space="preserve"> </w:t>
      </w:r>
      <w:r w:rsidR="008244B2">
        <w:t>together</w:t>
      </w:r>
      <w:r>
        <w:t xml:space="preserve"> to </w:t>
      </w:r>
      <w:r w:rsidR="008244B2">
        <w:t>determine the actual SSC reliability.</w:t>
      </w:r>
    </w:p>
    <w:p w14:paraId="61111AAA" w14:textId="552DD905" w:rsidR="007B6962" w:rsidRDefault="00C56B74" w:rsidP="004D7781">
      <w:pPr>
        <w:keepNext/>
        <w:jc w:val="center"/>
      </w:pPr>
      <w:r w:rsidRPr="00C56B74">
        <w:rPr>
          <w:noProof/>
        </w:rPr>
        <w:drawing>
          <wp:inline distT="0" distB="0" distL="0" distR="0" wp14:anchorId="64F26E3A" wp14:editId="2F615B34">
            <wp:extent cx="5943600" cy="2083435"/>
            <wp:effectExtent l="0" t="0" r="0" b="0"/>
            <wp:docPr id="8983018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301819" name=""/>
                    <pic:cNvPicPr/>
                  </pic:nvPicPr>
                  <pic:blipFill>
                    <a:blip r:embed="rId16"/>
                    <a:stretch>
                      <a:fillRect/>
                    </a:stretch>
                  </pic:blipFill>
                  <pic:spPr>
                    <a:xfrm>
                      <a:off x="0" y="0"/>
                      <a:ext cx="5943600" cy="2083435"/>
                    </a:xfrm>
                    <a:prstGeom prst="rect">
                      <a:avLst/>
                    </a:prstGeom>
                  </pic:spPr>
                </pic:pic>
              </a:graphicData>
            </a:graphic>
          </wp:inline>
        </w:drawing>
      </w:r>
    </w:p>
    <w:p w14:paraId="1C145909" w14:textId="74A8944B" w:rsidR="00EA356B" w:rsidRPr="00EA356B" w:rsidRDefault="007B6962" w:rsidP="004D7781">
      <w:pPr>
        <w:pStyle w:val="Caption"/>
        <w:rPr>
          <w:bCs/>
        </w:rPr>
      </w:pPr>
      <w:bookmarkStart w:id="20" w:name="_Ref188460344"/>
      <w:r>
        <w:t>Figure</w:t>
      </w:r>
      <w:r w:rsidR="00A53291">
        <w:t> </w:t>
      </w:r>
      <w:r>
        <w:fldChar w:fldCharType="begin"/>
      </w:r>
      <w:r>
        <w:instrText xml:space="preserve"> SEQ Figure \* ARABIC </w:instrText>
      </w:r>
      <w:r>
        <w:fldChar w:fldCharType="separate"/>
      </w:r>
      <w:r w:rsidR="00A53291">
        <w:t>7</w:t>
      </w:r>
      <w:r>
        <w:fldChar w:fldCharType="end"/>
      </w:r>
      <w:bookmarkStart w:id="21" w:name="_Toc162617569"/>
      <w:bookmarkEnd w:id="20"/>
      <w:r>
        <w:t>.</w:t>
      </w:r>
      <w:r w:rsidR="00EA356B" w:rsidRPr="00EA356B">
        <w:rPr>
          <w:bCs/>
        </w:rPr>
        <w:t xml:space="preserve"> Decomposition of SSC reliability: SSC performance informed by available monitoring data (deterministic in nature), reliability associated with monitoring system (aleatory in nature), and reliability associated with the decision process (deterministic and aleatory in nature).</w:t>
      </w:r>
      <w:bookmarkEnd w:id="21"/>
    </w:p>
    <w:p w14:paraId="1DA15A4B" w14:textId="77777777" w:rsidR="002C10B0" w:rsidRPr="007D3221" w:rsidRDefault="002C10B0" w:rsidP="00B82161">
      <w:pPr>
        <w:pStyle w:val="Heading1"/>
      </w:pPr>
      <w:r w:rsidRPr="00AA1BED">
        <w:t>CONCLUSIONS</w:t>
      </w:r>
    </w:p>
    <w:p w14:paraId="10CBEF59" w14:textId="54820E4E" w:rsidR="00A20699" w:rsidRPr="007D3221" w:rsidRDefault="008244B2" w:rsidP="00B82161">
      <w:r>
        <w:t xml:space="preserve">This paper has presented </w:t>
      </w:r>
      <w:r w:rsidR="003B7320">
        <w:t>the modeling</w:t>
      </w:r>
      <w:r>
        <w:t xml:space="preserve"> link</w:t>
      </w:r>
      <w:r w:rsidR="003B7320">
        <w:t>s</w:t>
      </w:r>
      <w:r>
        <w:t xml:space="preserve"> between SSC health, performance</w:t>
      </w:r>
      <w:r w:rsidR="004E3F48">
        <w:t>,</w:t>
      </w:r>
      <w:r>
        <w:t xml:space="preserve"> and reliability </w:t>
      </w:r>
      <w:r w:rsidR="003B7320">
        <w:t>through</w:t>
      </w:r>
      <w:r>
        <w:t xml:space="preserve"> a system engineering point of view. </w:t>
      </w:r>
      <w:r w:rsidR="003B7320">
        <w:t xml:space="preserve">The premise is that the </w:t>
      </w:r>
      <w:r w:rsidR="00A20699">
        <w:t xml:space="preserve">SSC </w:t>
      </w:r>
      <w:r w:rsidR="003B7320">
        <w:t>failure rate and failure probabilit</w:t>
      </w:r>
      <w:r w:rsidR="00A20699">
        <w:t>y</w:t>
      </w:r>
      <w:r w:rsidR="003B7320">
        <w:t xml:space="preserve"> are designed to model </w:t>
      </w:r>
      <w:r w:rsidR="004E3F48">
        <w:t xml:space="preserve">an </w:t>
      </w:r>
      <w:r w:rsidR="00A20699">
        <w:t>occurrence of SSC failure</w:t>
      </w:r>
      <w:r w:rsidR="003B7320">
        <w:t xml:space="preserve"> that is </w:t>
      </w:r>
      <w:r w:rsidR="00A20699">
        <w:t xml:space="preserve">considered </w:t>
      </w:r>
      <w:r w:rsidR="003B7320">
        <w:t xml:space="preserve">stochastic in nature; in other terms, we do not possess enough knowledge to model such phenomena in deterministic terms through </w:t>
      </w:r>
      <w:r w:rsidR="00A20699">
        <w:t xml:space="preserve">either data- or </w:t>
      </w:r>
      <w:r w:rsidR="003B7320">
        <w:t xml:space="preserve">physics-based </w:t>
      </w:r>
      <w:proofErr w:type="gramStart"/>
      <w:r w:rsidR="003B7320">
        <w:t>considerations</w:t>
      </w:r>
      <w:proofErr w:type="gramEnd"/>
      <w:r w:rsidR="003B7320">
        <w:t xml:space="preserve">. From here we argue that </w:t>
      </w:r>
      <w:r w:rsidR="00A20699">
        <w:t xml:space="preserve">S-M-PHM activities provide deterministic indications about SSC health (SSC form) and performance (SSC function); consequently, the occurrence of SSC failure is no longer completely stochastic in nature. We then provide answers to the following question: does it make sense to think in terms SSC failure rate and failure probability when S-M-PHM activities are performed? The answer to this question is crafted by first identifying the deterministic and stochastic elements of the ensemble “SSC and S-M-PHM” system. </w:t>
      </w:r>
      <w:r w:rsidR="006A2FB3">
        <w:t>Based on th</w:t>
      </w:r>
      <w:r w:rsidR="001B2570">
        <w:t>ese</w:t>
      </w:r>
      <w:r w:rsidR="006A2FB3">
        <w:t xml:space="preserve"> considerations, SSC failure rate or failure probability is modeled by considering only the stochastic elements of the ensemble “SSC and S-M-PHM” system. These stochastic elements are related to the fact that the S-M-PHM activities are not perfect in identifying SSC degradation and O&amp;M activities might not be performed in time. Based on past </w:t>
      </w:r>
      <w:r w:rsidR="006A2FB3">
        <w:lastRenderedPageBreak/>
        <w:t>operational data, these elements can be quantified stochastically. In addition, the third element is based purely on SSC health and performance data</w:t>
      </w:r>
      <w:r w:rsidR="001B2570">
        <w:t>,</w:t>
      </w:r>
      <w:r w:rsidR="006A2FB3">
        <w:t xml:space="preserve"> which is compared </w:t>
      </w:r>
      <w:r w:rsidR="0026379C">
        <w:t>to SSC operational tech-spec requirements through a margin mindset.</w:t>
      </w:r>
    </w:p>
    <w:p w14:paraId="24B275F2" w14:textId="77777777" w:rsidR="002C10B0" w:rsidRPr="008E4FE0" w:rsidRDefault="002C10B0" w:rsidP="00AA1BED">
      <w:pPr>
        <w:pStyle w:val="DefaultHeading"/>
      </w:pPr>
      <w:r w:rsidRPr="008E4FE0">
        <w:t>REFERENCES</w:t>
      </w:r>
    </w:p>
    <w:p w14:paraId="669E7293" w14:textId="3A442805" w:rsidR="00202A83" w:rsidRDefault="00202A83" w:rsidP="00202A83">
      <w:pPr>
        <w:pStyle w:val="ListParagraph"/>
        <w:numPr>
          <w:ilvl w:val="0"/>
          <w:numId w:val="18"/>
        </w:numPr>
        <w:ind w:left="547" w:hanging="547"/>
        <w:contextualSpacing w:val="0"/>
      </w:pPr>
      <w:r>
        <w:t xml:space="preserve">A. </w:t>
      </w:r>
      <w:r w:rsidRPr="00665EC0">
        <w:t xml:space="preserve">Gelman, </w:t>
      </w:r>
      <w:r>
        <w:t>J.</w:t>
      </w:r>
      <w:r w:rsidRPr="00665EC0">
        <w:t xml:space="preserve"> Carlin, </w:t>
      </w:r>
      <w:r>
        <w:t>H.</w:t>
      </w:r>
      <w:r w:rsidRPr="00665EC0">
        <w:t xml:space="preserve"> Stern, </w:t>
      </w:r>
      <w:r>
        <w:t>D.</w:t>
      </w:r>
      <w:r w:rsidRPr="00665EC0">
        <w:t xml:space="preserve"> Dunson, </w:t>
      </w:r>
      <w:r>
        <w:t>A.</w:t>
      </w:r>
      <w:r w:rsidRPr="00665EC0">
        <w:t xml:space="preserve"> Vehtari, and </w:t>
      </w:r>
      <w:r>
        <w:t>D.</w:t>
      </w:r>
      <w:r w:rsidRPr="00665EC0">
        <w:t xml:space="preserve"> Rubin</w:t>
      </w:r>
      <w:r>
        <w:t>,</w:t>
      </w:r>
      <w:r w:rsidRPr="00665EC0">
        <w:t xml:space="preserve"> </w:t>
      </w:r>
      <w:r w:rsidRPr="006E7291">
        <w:rPr>
          <w:i/>
          <w:iCs/>
        </w:rPr>
        <w:t>Bayesian Data Analysis</w:t>
      </w:r>
      <w:r>
        <w:t>. 3</w:t>
      </w:r>
      <w:r w:rsidRPr="008244B2">
        <w:rPr>
          <w:vertAlign w:val="superscript"/>
        </w:rPr>
        <w:t>rd</w:t>
      </w:r>
      <w:r>
        <w:t xml:space="preserve"> ed.</w:t>
      </w:r>
      <w:r w:rsidRPr="00665EC0">
        <w:t xml:space="preserve">, </w:t>
      </w:r>
      <w:r>
        <w:t xml:space="preserve">New York: </w:t>
      </w:r>
      <w:r w:rsidRPr="003D3CF9">
        <w:t>Chapman and Hall/CRC</w:t>
      </w:r>
      <w:r>
        <w:t>, 2013.</w:t>
      </w:r>
    </w:p>
    <w:p w14:paraId="517770C4" w14:textId="6E2DFEFE" w:rsidR="00202A83" w:rsidRDefault="00202A83" w:rsidP="00202A83">
      <w:pPr>
        <w:pStyle w:val="ListParagraph"/>
        <w:numPr>
          <w:ilvl w:val="0"/>
          <w:numId w:val="18"/>
        </w:numPr>
        <w:ind w:left="547" w:hanging="547"/>
        <w:contextualSpacing w:val="0"/>
      </w:pPr>
      <w:r w:rsidRPr="00202A83">
        <w:t>Hyland, A., Hoyland, A., </w:t>
      </w:r>
      <w:proofErr w:type="spellStart"/>
      <w:r w:rsidRPr="00202A83">
        <w:t>Rausand</w:t>
      </w:r>
      <w:proofErr w:type="spellEnd"/>
      <w:r w:rsidRPr="00202A83">
        <w:t>, M. (2009). System Reliability Theory: Models and Statistical Methods. Germany: Wiley.</w:t>
      </w:r>
    </w:p>
    <w:p w14:paraId="4FAEADE5" w14:textId="77777777" w:rsidR="00202A83" w:rsidRDefault="00202A83" w:rsidP="00202A83">
      <w:pPr>
        <w:pStyle w:val="ListParagraph"/>
        <w:numPr>
          <w:ilvl w:val="0"/>
          <w:numId w:val="18"/>
        </w:numPr>
        <w:ind w:left="547" w:hanging="547"/>
        <w:contextualSpacing w:val="0"/>
      </w:pPr>
      <w:r w:rsidRPr="00354F06">
        <w:t>NUREG/CR-6895</w:t>
      </w:r>
      <w:r>
        <w:t>, “</w:t>
      </w:r>
      <w:r w:rsidRPr="00C8666D">
        <w:t>Technical Review of On-Line Monitoring Techniques for Performance Assessment</w:t>
      </w:r>
      <w:r>
        <w:t>,” U.S.</w:t>
      </w:r>
      <w:r>
        <w:rPr>
          <w:spacing w:val="-3"/>
        </w:rPr>
        <w:t xml:space="preserve"> </w:t>
      </w:r>
      <w:r>
        <w:t xml:space="preserve">Nuclear Regulatory Commission, </w:t>
      </w:r>
      <w:hyperlink r:id="rId17" w:history="1">
        <w:r w:rsidRPr="00973696">
          <w:rPr>
            <w:rStyle w:val="Hyperlink"/>
          </w:rPr>
          <w:t>https://www.nrc.gov/reading-rm/doc-collections/nuregs/contract/cr6895/index.html</w:t>
        </w:r>
      </w:hyperlink>
    </w:p>
    <w:p w14:paraId="3AD5FE81" w14:textId="151B3436" w:rsidR="00202A83" w:rsidRPr="007D3221" w:rsidRDefault="00202A83" w:rsidP="00202A83">
      <w:pPr>
        <w:pStyle w:val="ListParagraph"/>
        <w:numPr>
          <w:ilvl w:val="0"/>
          <w:numId w:val="18"/>
        </w:numPr>
        <w:ind w:left="547" w:hanging="547"/>
        <w:contextualSpacing w:val="0"/>
      </w:pPr>
      <w:r w:rsidRPr="00202A83">
        <w:t>ASME Section XI, Div.1, "Rules for Inspection and Testing of Components of Light-Water-Cooled Plants," American Society of Mechanical Engineers, ASME Boiler &amp; Pressure Vessel Code, Section XI, Division 1, BPVC-XI-1 - 2021, 2021.</w:t>
      </w:r>
    </w:p>
    <w:p w14:paraId="5CCF696C" w14:textId="5C2902C8" w:rsidR="009F546C" w:rsidRDefault="009F546C" w:rsidP="00B82161"/>
    <w:p w14:paraId="5C043A84" w14:textId="77777777" w:rsidR="008654AE" w:rsidRDefault="008654AE" w:rsidP="008654AE"/>
    <w:p w14:paraId="72B31D0B" w14:textId="5C6E2A07" w:rsidR="008654AE" w:rsidRPr="008654AE" w:rsidRDefault="008654AE" w:rsidP="008654AE">
      <w:pPr>
        <w:tabs>
          <w:tab w:val="left" w:pos="449"/>
        </w:tabs>
      </w:pPr>
      <w:r>
        <w:tab/>
      </w:r>
    </w:p>
    <w:sectPr w:rsidR="008654AE" w:rsidRPr="008654AE" w:rsidSect="003C71A2">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5D177" w14:textId="77777777" w:rsidR="00016680" w:rsidRDefault="00016680" w:rsidP="00B82161">
      <w:r>
        <w:separator/>
      </w:r>
    </w:p>
  </w:endnote>
  <w:endnote w:type="continuationSeparator" w:id="0">
    <w:p w14:paraId="381C40DF" w14:textId="77777777" w:rsidR="00016680" w:rsidRDefault="00016680" w:rsidP="00B82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37B303" w14:textId="77777777" w:rsidR="00016680" w:rsidRDefault="00016680" w:rsidP="00B82161">
      <w:r>
        <w:separator/>
      </w:r>
    </w:p>
  </w:footnote>
  <w:footnote w:type="continuationSeparator" w:id="0">
    <w:p w14:paraId="12A7056D" w14:textId="77777777" w:rsidR="00016680" w:rsidRDefault="00016680" w:rsidP="00B82161">
      <w:r>
        <w:continuationSeparator/>
      </w:r>
    </w:p>
  </w:footnote>
  <w:footnote w:id="1">
    <w:p w14:paraId="087E7D4B" w14:textId="77777777" w:rsidR="009E0826" w:rsidRDefault="009E0826" w:rsidP="00BD3FD7">
      <w:pPr>
        <w:pStyle w:val="FootnoteText"/>
        <w:spacing w:before="0" w:after="0" w:line="240" w:lineRule="auto"/>
      </w:pPr>
      <w:r>
        <w:rPr>
          <w:rStyle w:val="FootnoteReference"/>
        </w:rPr>
        <w:footnoteRef/>
      </w:r>
      <w:r>
        <w:t xml:space="preserve"> The assumption here is</w:t>
      </w:r>
      <w:r w:rsidRPr="000B05E2">
        <w:t xml:space="preserve"> that once a flaw (or a leak) is detected, plant personnel will not deliberately lead </w:t>
      </w:r>
      <w:r>
        <w:t xml:space="preserve">the </w:t>
      </w:r>
      <w:r w:rsidRPr="000B05E2">
        <w:t>SSC to the undesired event</w:t>
      </w:r>
      <w:r>
        <w:t>.</w:t>
      </w:r>
    </w:p>
  </w:footnote>
  <w:footnote w:id="2">
    <w:p w14:paraId="57CD8D78" w14:textId="77777777" w:rsidR="00CF76DB" w:rsidRDefault="00CF76DB" w:rsidP="00CF76DB">
      <w:pPr>
        <w:pStyle w:val="FootnoteText"/>
      </w:pPr>
      <w:r>
        <w:rPr>
          <w:rStyle w:val="FootnoteReference"/>
        </w:rPr>
        <w:footnoteRef/>
      </w:r>
      <w:r>
        <w:t xml:space="preserve"> Note that the </w:t>
      </w:r>
      <w:r>
        <w:rPr>
          <w:iCs/>
        </w:rPr>
        <w:t>occurrence of the SSC undesired event can be framed in terms of either probability or rate.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8F5E7666"/>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D1C05F4E"/>
    <w:lvl w:ilvl="0">
      <w:start w:val="1"/>
      <w:numFmt w:val="decimal"/>
      <w:pStyle w:val="ListNumber"/>
      <w:lvlText w:val="%1."/>
      <w:lvlJc w:val="left"/>
      <w:pPr>
        <w:tabs>
          <w:tab w:val="num" w:pos="360"/>
        </w:tabs>
        <w:ind w:left="360" w:hanging="360"/>
      </w:pPr>
    </w:lvl>
  </w:abstractNum>
  <w:abstractNum w:abstractNumId="2" w15:restartNumberingAfterBreak="0">
    <w:nsid w:val="0DB86E08"/>
    <w:multiLevelType w:val="hybridMultilevel"/>
    <w:tmpl w:val="D0AE5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850590"/>
    <w:multiLevelType w:val="hybridMultilevel"/>
    <w:tmpl w:val="47749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C24570"/>
    <w:multiLevelType w:val="hybridMultilevel"/>
    <w:tmpl w:val="358CC3E0"/>
    <w:lvl w:ilvl="0" w:tplc="2D5EDAC6">
      <w:start w:val="1"/>
      <w:numFmt w:val="decimal"/>
      <w:pStyle w:val="References"/>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B42C11"/>
    <w:multiLevelType w:val="hybridMultilevel"/>
    <w:tmpl w:val="79B8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E52052"/>
    <w:multiLevelType w:val="hybridMultilevel"/>
    <w:tmpl w:val="7DCEAD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C01123"/>
    <w:multiLevelType w:val="multilevel"/>
    <w:tmpl w:val="41C21760"/>
    <w:styleLink w:val="CurrentList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1FF16A8"/>
    <w:multiLevelType w:val="hybridMultilevel"/>
    <w:tmpl w:val="DEF4B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C016FE"/>
    <w:multiLevelType w:val="hybridMultilevel"/>
    <w:tmpl w:val="68806B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0033F25"/>
    <w:multiLevelType w:val="hybridMultilevel"/>
    <w:tmpl w:val="AD2E5D0C"/>
    <w:lvl w:ilvl="0" w:tplc="99D4CD6E">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1660354"/>
    <w:multiLevelType w:val="hybridMultilevel"/>
    <w:tmpl w:val="B8449D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32A2DD6"/>
    <w:multiLevelType w:val="hybridMultilevel"/>
    <w:tmpl w:val="587C0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5F621D"/>
    <w:multiLevelType w:val="multilevel"/>
    <w:tmpl w:val="31DC0F9A"/>
    <w:lvl w:ilvl="0">
      <w:start w:val="1"/>
      <w:numFmt w:val="decimal"/>
      <w:pStyle w:val="Heading1"/>
      <w:lvlText w:val="%1."/>
      <w:lvlJc w:val="left"/>
      <w:pPr>
        <w:ind w:left="0" w:firstLine="0"/>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DAD0BC6"/>
    <w:multiLevelType w:val="multilevel"/>
    <w:tmpl w:val="41C21760"/>
    <w:styleLink w:val="CurrentList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7364148"/>
    <w:multiLevelType w:val="hybridMultilevel"/>
    <w:tmpl w:val="E3C454C8"/>
    <w:lvl w:ilvl="0" w:tplc="D8387DCE">
      <w:start w:val="1"/>
      <w:numFmt w:val="bullet"/>
      <w:pStyle w:val="ListBullet4"/>
      <w:lvlText w:val=""/>
      <w:lvlJc w:val="left"/>
      <w:pPr>
        <w:tabs>
          <w:tab w:val="num" w:pos="1440"/>
        </w:tabs>
        <w:ind w:left="1440" w:hanging="360"/>
      </w:pPr>
      <w:rPr>
        <w:rFonts w:ascii="Symbol" w:hAnsi="Symbol" w:hint="default"/>
        <w:sz w:val="22"/>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F403FF8"/>
    <w:multiLevelType w:val="hybridMultilevel"/>
    <w:tmpl w:val="8D2AFEF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38D37B8"/>
    <w:multiLevelType w:val="multilevel"/>
    <w:tmpl w:val="7F5C48E4"/>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80"/>
        </w:tabs>
        <w:ind w:left="480" w:hanging="48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num w:numId="1" w16cid:durableId="1248882855">
    <w:abstractNumId w:val="1"/>
  </w:num>
  <w:num w:numId="2" w16cid:durableId="370499393">
    <w:abstractNumId w:val="0"/>
  </w:num>
  <w:num w:numId="3" w16cid:durableId="1915895105">
    <w:abstractNumId w:val="17"/>
  </w:num>
  <w:num w:numId="4" w16cid:durableId="2077894004">
    <w:abstractNumId w:val="4"/>
  </w:num>
  <w:num w:numId="5" w16cid:durableId="413624238">
    <w:abstractNumId w:val="13"/>
  </w:num>
  <w:num w:numId="6" w16cid:durableId="839858030">
    <w:abstractNumId w:val="7"/>
  </w:num>
  <w:num w:numId="7" w16cid:durableId="1826781609">
    <w:abstractNumId w:val="14"/>
  </w:num>
  <w:num w:numId="8" w16cid:durableId="2056612325">
    <w:abstractNumId w:val="12"/>
  </w:num>
  <w:num w:numId="9" w16cid:durableId="2080710268">
    <w:abstractNumId w:val="8"/>
  </w:num>
  <w:num w:numId="10" w16cid:durableId="93282745">
    <w:abstractNumId w:val="11"/>
  </w:num>
  <w:num w:numId="11" w16cid:durableId="1174300314">
    <w:abstractNumId w:val="16"/>
  </w:num>
  <w:num w:numId="12" w16cid:durableId="638874840">
    <w:abstractNumId w:val="15"/>
  </w:num>
  <w:num w:numId="13" w16cid:durableId="811363884">
    <w:abstractNumId w:val="9"/>
  </w:num>
  <w:num w:numId="14" w16cid:durableId="1721974591">
    <w:abstractNumId w:val="2"/>
  </w:num>
  <w:num w:numId="15" w16cid:durableId="596791381">
    <w:abstractNumId w:val="3"/>
  </w:num>
  <w:num w:numId="16" w16cid:durableId="1502114614">
    <w:abstractNumId w:val="5"/>
  </w:num>
  <w:num w:numId="17" w16cid:durableId="1691102051">
    <w:abstractNumId w:val="6"/>
  </w:num>
  <w:num w:numId="18" w16cid:durableId="521551964">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6"/>
  <w:embedSystemFonts/>
  <w:bordersDoNotSurroundHeader/>
  <w:bordersDoNotSurroundFooter/>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evenAndOddHeaders/>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3F1"/>
    <w:rsid w:val="0000031F"/>
    <w:rsid w:val="00000DFD"/>
    <w:rsid w:val="00015BC9"/>
    <w:rsid w:val="00016528"/>
    <w:rsid w:val="00016680"/>
    <w:rsid w:val="00017E5B"/>
    <w:rsid w:val="0003343B"/>
    <w:rsid w:val="00035935"/>
    <w:rsid w:val="00047887"/>
    <w:rsid w:val="00051533"/>
    <w:rsid w:val="00065A0F"/>
    <w:rsid w:val="00067502"/>
    <w:rsid w:val="000675D3"/>
    <w:rsid w:val="00074C7C"/>
    <w:rsid w:val="000A04E9"/>
    <w:rsid w:val="000A5AAA"/>
    <w:rsid w:val="000B4172"/>
    <w:rsid w:val="000B617F"/>
    <w:rsid w:val="000C1D98"/>
    <w:rsid w:val="000C5012"/>
    <w:rsid w:val="000C6ECD"/>
    <w:rsid w:val="000E5B37"/>
    <w:rsid w:val="001154A6"/>
    <w:rsid w:val="00115BAC"/>
    <w:rsid w:val="0011750E"/>
    <w:rsid w:val="00122EF8"/>
    <w:rsid w:val="001276C6"/>
    <w:rsid w:val="00132429"/>
    <w:rsid w:val="00132726"/>
    <w:rsid w:val="00132BC5"/>
    <w:rsid w:val="001334DC"/>
    <w:rsid w:val="00136234"/>
    <w:rsid w:val="00144F8D"/>
    <w:rsid w:val="00146012"/>
    <w:rsid w:val="0014680C"/>
    <w:rsid w:val="001522C9"/>
    <w:rsid w:val="00152388"/>
    <w:rsid w:val="00152AD5"/>
    <w:rsid w:val="00165EE8"/>
    <w:rsid w:val="0018446B"/>
    <w:rsid w:val="00187D5C"/>
    <w:rsid w:val="00194BF1"/>
    <w:rsid w:val="00195430"/>
    <w:rsid w:val="001A1939"/>
    <w:rsid w:val="001A51B9"/>
    <w:rsid w:val="001A6199"/>
    <w:rsid w:val="001A65EB"/>
    <w:rsid w:val="001B2570"/>
    <w:rsid w:val="001B4188"/>
    <w:rsid w:val="001C2623"/>
    <w:rsid w:val="001C4A81"/>
    <w:rsid w:val="001C4ED7"/>
    <w:rsid w:val="001C6618"/>
    <w:rsid w:val="001D0DD8"/>
    <w:rsid w:val="001D1F26"/>
    <w:rsid w:val="001D3586"/>
    <w:rsid w:val="001D35CC"/>
    <w:rsid w:val="001D59E9"/>
    <w:rsid w:val="001D6E7C"/>
    <w:rsid w:val="001E494F"/>
    <w:rsid w:val="001E7EF8"/>
    <w:rsid w:val="00202A83"/>
    <w:rsid w:val="00212873"/>
    <w:rsid w:val="00213670"/>
    <w:rsid w:val="00224ED4"/>
    <w:rsid w:val="00224FAC"/>
    <w:rsid w:val="002327C8"/>
    <w:rsid w:val="00244E39"/>
    <w:rsid w:val="00245D06"/>
    <w:rsid w:val="00256393"/>
    <w:rsid w:val="0026379C"/>
    <w:rsid w:val="0026798D"/>
    <w:rsid w:val="0027157F"/>
    <w:rsid w:val="002802C5"/>
    <w:rsid w:val="00282FB7"/>
    <w:rsid w:val="00284459"/>
    <w:rsid w:val="00285940"/>
    <w:rsid w:val="00290CC4"/>
    <w:rsid w:val="002A393E"/>
    <w:rsid w:val="002A54E9"/>
    <w:rsid w:val="002B2FAE"/>
    <w:rsid w:val="002C10B0"/>
    <w:rsid w:val="002C2CDB"/>
    <w:rsid w:val="002C3209"/>
    <w:rsid w:val="002C3F7E"/>
    <w:rsid w:val="002D2C78"/>
    <w:rsid w:val="002D3FA6"/>
    <w:rsid w:val="002E292E"/>
    <w:rsid w:val="0031491A"/>
    <w:rsid w:val="0033285C"/>
    <w:rsid w:val="0034007A"/>
    <w:rsid w:val="00343A2F"/>
    <w:rsid w:val="00355E5C"/>
    <w:rsid w:val="00364223"/>
    <w:rsid w:val="003668C4"/>
    <w:rsid w:val="00366B03"/>
    <w:rsid w:val="00372303"/>
    <w:rsid w:val="0037611D"/>
    <w:rsid w:val="003839F1"/>
    <w:rsid w:val="00385B60"/>
    <w:rsid w:val="003868B2"/>
    <w:rsid w:val="003962AA"/>
    <w:rsid w:val="003B5B3B"/>
    <w:rsid w:val="003B7320"/>
    <w:rsid w:val="003C2822"/>
    <w:rsid w:val="003C5C0F"/>
    <w:rsid w:val="003C71A2"/>
    <w:rsid w:val="003E6A1B"/>
    <w:rsid w:val="00407BA2"/>
    <w:rsid w:val="00407F11"/>
    <w:rsid w:val="0041262D"/>
    <w:rsid w:val="004140E3"/>
    <w:rsid w:val="0043258A"/>
    <w:rsid w:val="00432D78"/>
    <w:rsid w:val="00434FEA"/>
    <w:rsid w:val="00444DEC"/>
    <w:rsid w:val="00452CA0"/>
    <w:rsid w:val="004848C7"/>
    <w:rsid w:val="00486976"/>
    <w:rsid w:val="00493BEB"/>
    <w:rsid w:val="00493F85"/>
    <w:rsid w:val="00495642"/>
    <w:rsid w:val="00496FDC"/>
    <w:rsid w:val="004A3938"/>
    <w:rsid w:val="004A4CD5"/>
    <w:rsid w:val="004B2610"/>
    <w:rsid w:val="004B4454"/>
    <w:rsid w:val="004B5492"/>
    <w:rsid w:val="004C77BE"/>
    <w:rsid w:val="004D0E2F"/>
    <w:rsid w:val="004D7781"/>
    <w:rsid w:val="004E1BA2"/>
    <w:rsid w:val="004E3F48"/>
    <w:rsid w:val="004E44AD"/>
    <w:rsid w:val="00500A62"/>
    <w:rsid w:val="00504FE1"/>
    <w:rsid w:val="00530AFA"/>
    <w:rsid w:val="00533310"/>
    <w:rsid w:val="00533EBF"/>
    <w:rsid w:val="005404CE"/>
    <w:rsid w:val="00544793"/>
    <w:rsid w:val="005466E3"/>
    <w:rsid w:val="00573BE8"/>
    <w:rsid w:val="005801B8"/>
    <w:rsid w:val="00587BD2"/>
    <w:rsid w:val="00593473"/>
    <w:rsid w:val="005A6638"/>
    <w:rsid w:val="005A72B3"/>
    <w:rsid w:val="005B3CF6"/>
    <w:rsid w:val="005B7719"/>
    <w:rsid w:val="005D66AA"/>
    <w:rsid w:val="005E0F45"/>
    <w:rsid w:val="005E3446"/>
    <w:rsid w:val="00601250"/>
    <w:rsid w:val="00601587"/>
    <w:rsid w:val="00603B6E"/>
    <w:rsid w:val="006078E2"/>
    <w:rsid w:val="006159C3"/>
    <w:rsid w:val="00624B8B"/>
    <w:rsid w:val="00645E9E"/>
    <w:rsid w:val="00647BD7"/>
    <w:rsid w:val="00656A02"/>
    <w:rsid w:val="006631E4"/>
    <w:rsid w:val="006645FE"/>
    <w:rsid w:val="0067079C"/>
    <w:rsid w:val="00671195"/>
    <w:rsid w:val="0067248A"/>
    <w:rsid w:val="0068203A"/>
    <w:rsid w:val="00683320"/>
    <w:rsid w:val="006A2FB3"/>
    <w:rsid w:val="006A4FE2"/>
    <w:rsid w:val="006B5FCF"/>
    <w:rsid w:val="006B75D8"/>
    <w:rsid w:val="006C0DE7"/>
    <w:rsid w:val="006C755F"/>
    <w:rsid w:val="006D0C7B"/>
    <w:rsid w:val="006D771B"/>
    <w:rsid w:val="006E7291"/>
    <w:rsid w:val="007041F9"/>
    <w:rsid w:val="00705F66"/>
    <w:rsid w:val="007116F4"/>
    <w:rsid w:val="00711B08"/>
    <w:rsid w:val="0071390C"/>
    <w:rsid w:val="007157B7"/>
    <w:rsid w:val="00721B26"/>
    <w:rsid w:val="007240B8"/>
    <w:rsid w:val="00731B99"/>
    <w:rsid w:val="0073330A"/>
    <w:rsid w:val="00744590"/>
    <w:rsid w:val="007548E3"/>
    <w:rsid w:val="007607C9"/>
    <w:rsid w:val="00763DC7"/>
    <w:rsid w:val="0076499F"/>
    <w:rsid w:val="00781993"/>
    <w:rsid w:val="00781F1F"/>
    <w:rsid w:val="007A1475"/>
    <w:rsid w:val="007B2BB4"/>
    <w:rsid w:val="007B5454"/>
    <w:rsid w:val="007B6962"/>
    <w:rsid w:val="007C0468"/>
    <w:rsid w:val="007C468E"/>
    <w:rsid w:val="007C76E8"/>
    <w:rsid w:val="007C7939"/>
    <w:rsid w:val="007D3221"/>
    <w:rsid w:val="007D7A53"/>
    <w:rsid w:val="007E34A6"/>
    <w:rsid w:val="007F56A0"/>
    <w:rsid w:val="007F68DE"/>
    <w:rsid w:val="007F7334"/>
    <w:rsid w:val="00800C55"/>
    <w:rsid w:val="00805111"/>
    <w:rsid w:val="008244B2"/>
    <w:rsid w:val="00831DFC"/>
    <w:rsid w:val="00836380"/>
    <w:rsid w:val="00843255"/>
    <w:rsid w:val="0085058A"/>
    <w:rsid w:val="008557FF"/>
    <w:rsid w:val="0085615D"/>
    <w:rsid w:val="00861887"/>
    <w:rsid w:val="008654AE"/>
    <w:rsid w:val="0086627D"/>
    <w:rsid w:val="008721E4"/>
    <w:rsid w:val="008931B2"/>
    <w:rsid w:val="008A27F4"/>
    <w:rsid w:val="008B0701"/>
    <w:rsid w:val="008E484A"/>
    <w:rsid w:val="008E4FE0"/>
    <w:rsid w:val="008E6E64"/>
    <w:rsid w:val="008F0A29"/>
    <w:rsid w:val="00903B5E"/>
    <w:rsid w:val="00926E1A"/>
    <w:rsid w:val="00931333"/>
    <w:rsid w:val="00932165"/>
    <w:rsid w:val="009368F1"/>
    <w:rsid w:val="00941EE4"/>
    <w:rsid w:val="0094285E"/>
    <w:rsid w:val="00943F91"/>
    <w:rsid w:val="009525F6"/>
    <w:rsid w:val="00953A69"/>
    <w:rsid w:val="009807CB"/>
    <w:rsid w:val="00992E49"/>
    <w:rsid w:val="009933F1"/>
    <w:rsid w:val="009A6014"/>
    <w:rsid w:val="009B1396"/>
    <w:rsid w:val="009B1D23"/>
    <w:rsid w:val="009B748A"/>
    <w:rsid w:val="009D1BAD"/>
    <w:rsid w:val="009E0826"/>
    <w:rsid w:val="009E3D39"/>
    <w:rsid w:val="009F0C1C"/>
    <w:rsid w:val="009F546C"/>
    <w:rsid w:val="009F5656"/>
    <w:rsid w:val="00A04081"/>
    <w:rsid w:val="00A0589C"/>
    <w:rsid w:val="00A14BFC"/>
    <w:rsid w:val="00A16558"/>
    <w:rsid w:val="00A20699"/>
    <w:rsid w:val="00A22F0A"/>
    <w:rsid w:val="00A24D37"/>
    <w:rsid w:val="00A26AF7"/>
    <w:rsid w:val="00A36A08"/>
    <w:rsid w:val="00A379F6"/>
    <w:rsid w:val="00A37BAA"/>
    <w:rsid w:val="00A45776"/>
    <w:rsid w:val="00A53291"/>
    <w:rsid w:val="00A56584"/>
    <w:rsid w:val="00A57388"/>
    <w:rsid w:val="00A65149"/>
    <w:rsid w:val="00A72100"/>
    <w:rsid w:val="00A73743"/>
    <w:rsid w:val="00A759F5"/>
    <w:rsid w:val="00A76D02"/>
    <w:rsid w:val="00A773EC"/>
    <w:rsid w:val="00A91FE3"/>
    <w:rsid w:val="00A94B05"/>
    <w:rsid w:val="00A94C3C"/>
    <w:rsid w:val="00A9531F"/>
    <w:rsid w:val="00AA1BED"/>
    <w:rsid w:val="00AB38CA"/>
    <w:rsid w:val="00AB5879"/>
    <w:rsid w:val="00AC2EAC"/>
    <w:rsid w:val="00AC7560"/>
    <w:rsid w:val="00AD59E8"/>
    <w:rsid w:val="00AD669C"/>
    <w:rsid w:val="00AE2706"/>
    <w:rsid w:val="00AE496E"/>
    <w:rsid w:val="00AE7C97"/>
    <w:rsid w:val="00AF70B8"/>
    <w:rsid w:val="00B127D2"/>
    <w:rsid w:val="00B15B4E"/>
    <w:rsid w:val="00B23924"/>
    <w:rsid w:val="00B24A64"/>
    <w:rsid w:val="00B25773"/>
    <w:rsid w:val="00B30C22"/>
    <w:rsid w:val="00B351AA"/>
    <w:rsid w:val="00B40111"/>
    <w:rsid w:val="00B42F14"/>
    <w:rsid w:val="00B47B7F"/>
    <w:rsid w:val="00B63AB8"/>
    <w:rsid w:val="00B66674"/>
    <w:rsid w:val="00B66D1D"/>
    <w:rsid w:val="00B82161"/>
    <w:rsid w:val="00B86A3B"/>
    <w:rsid w:val="00B93216"/>
    <w:rsid w:val="00B975E4"/>
    <w:rsid w:val="00B97834"/>
    <w:rsid w:val="00BB2303"/>
    <w:rsid w:val="00BC38E7"/>
    <w:rsid w:val="00BD3FD7"/>
    <w:rsid w:val="00BE698A"/>
    <w:rsid w:val="00BF0CD3"/>
    <w:rsid w:val="00BF62EC"/>
    <w:rsid w:val="00C103E3"/>
    <w:rsid w:val="00C122A3"/>
    <w:rsid w:val="00C122BA"/>
    <w:rsid w:val="00C1353C"/>
    <w:rsid w:val="00C1545B"/>
    <w:rsid w:val="00C2041B"/>
    <w:rsid w:val="00C2601A"/>
    <w:rsid w:val="00C345E5"/>
    <w:rsid w:val="00C46512"/>
    <w:rsid w:val="00C5447D"/>
    <w:rsid w:val="00C55713"/>
    <w:rsid w:val="00C56B74"/>
    <w:rsid w:val="00C572AA"/>
    <w:rsid w:val="00C83DF4"/>
    <w:rsid w:val="00C87E9F"/>
    <w:rsid w:val="00CA2BF2"/>
    <w:rsid w:val="00CA3B06"/>
    <w:rsid w:val="00CC4ED8"/>
    <w:rsid w:val="00CD0BA4"/>
    <w:rsid w:val="00CD3594"/>
    <w:rsid w:val="00CD4002"/>
    <w:rsid w:val="00CD7766"/>
    <w:rsid w:val="00CE0C27"/>
    <w:rsid w:val="00CE0DDE"/>
    <w:rsid w:val="00CE2765"/>
    <w:rsid w:val="00CE3540"/>
    <w:rsid w:val="00CF1979"/>
    <w:rsid w:val="00CF1A88"/>
    <w:rsid w:val="00CF29D0"/>
    <w:rsid w:val="00CF76DB"/>
    <w:rsid w:val="00D0311D"/>
    <w:rsid w:val="00D073D2"/>
    <w:rsid w:val="00D22A7B"/>
    <w:rsid w:val="00D346C8"/>
    <w:rsid w:val="00D52426"/>
    <w:rsid w:val="00D53A1C"/>
    <w:rsid w:val="00D54435"/>
    <w:rsid w:val="00D602B9"/>
    <w:rsid w:val="00D61A94"/>
    <w:rsid w:val="00D74A50"/>
    <w:rsid w:val="00D9187F"/>
    <w:rsid w:val="00D95046"/>
    <w:rsid w:val="00DA2AD7"/>
    <w:rsid w:val="00DA2DF6"/>
    <w:rsid w:val="00DB0965"/>
    <w:rsid w:val="00DB5909"/>
    <w:rsid w:val="00DD3EEB"/>
    <w:rsid w:val="00DD6C10"/>
    <w:rsid w:val="00DD741D"/>
    <w:rsid w:val="00DE4011"/>
    <w:rsid w:val="00DE69BA"/>
    <w:rsid w:val="00DE7727"/>
    <w:rsid w:val="00DF1B7D"/>
    <w:rsid w:val="00DF2016"/>
    <w:rsid w:val="00E1259A"/>
    <w:rsid w:val="00E14C40"/>
    <w:rsid w:val="00E1699A"/>
    <w:rsid w:val="00E26903"/>
    <w:rsid w:val="00E269BC"/>
    <w:rsid w:val="00E33E61"/>
    <w:rsid w:val="00E40FB7"/>
    <w:rsid w:val="00E4123A"/>
    <w:rsid w:val="00E527DE"/>
    <w:rsid w:val="00E52FCE"/>
    <w:rsid w:val="00E64B6F"/>
    <w:rsid w:val="00E66BEE"/>
    <w:rsid w:val="00E838EB"/>
    <w:rsid w:val="00E92BCC"/>
    <w:rsid w:val="00E93760"/>
    <w:rsid w:val="00E93F84"/>
    <w:rsid w:val="00EA356B"/>
    <w:rsid w:val="00EA5341"/>
    <w:rsid w:val="00EE058A"/>
    <w:rsid w:val="00EE5741"/>
    <w:rsid w:val="00EF503C"/>
    <w:rsid w:val="00F012A3"/>
    <w:rsid w:val="00F01FDD"/>
    <w:rsid w:val="00F11F67"/>
    <w:rsid w:val="00F13AA2"/>
    <w:rsid w:val="00F16296"/>
    <w:rsid w:val="00F23357"/>
    <w:rsid w:val="00F33FF3"/>
    <w:rsid w:val="00F352C9"/>
    <w:rsid w:val="00F4238F"/>
    <w:rsid w:val="00F42535"/>
    <w:rsid w:val="00F563E2"/>
    <w:rsid w:val="00F66B0A"/>
    <w:rsid w:val="00F70865"/>
    <w:rsid w:val="00F73FC0"/>
    <w:rsid w:val="00F9333B"/>
    <w:rsid w:val="00F97BC1"/>
    <w:rsid w:val="00FA03A2"/>
    <w:rsid w:val="00FA24F3"/>
    <w:rsid w:val="00FA2870"/>
    <w:rsid w:val="00FA69B7"/>
    <w:rsid w:val="00FB3822"/>
    <w:rsid w:val="00FE08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998938"/>
  <w15:docId w15:val="{2498A7AF-0F53-4CF0-A07E-B595CB6FA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161"/>
    <w:pPr>
      <w:spacing w:before="120" w:after="120"/>
      <w:jc w:val="both"/>
    </w:pPr>
    <w:rPr>
      <w:rFonts w:eastAsia="Batang"/>
      <w:kern w:val="2"/>
      <w:sz w:val="22"/>
      <w:szCs w:val="22"/>
      <w:lang w:eastAsia="ko-KR"/>
    </w:rPr>
  </w:style>
  <w:style w:type="paragraph" w:styleId="Heading1">
    <w:name w:val="heading 1"/>
    <w:basedOn w:val="Normal"/>
    <w:next w:val="Normal"/>
    <w:qFormat/>
    <w:rsid w:val="002E292E"/>
    <w:pPr>
      <w:keepNext/>
      <w:widowControl w:val="0"/>
      <w:numPr>
        <w:numId w:val="5"/>
      </w:numPr>
      <w:spacing w:before="240" w:after="240"/>
      <w:jc w:val="center"/>
      <w:outlineLvl w:val="0"/>
    </w:pPr>
    <w:rPr>
      <w:rFonts w:cs="Arial"/>
      <w:b/>
      <w:bCs/>
      <w:snapToGrid w:val="0"/>
      <w:kern w:val="32"/>
      <w:sz w:val="24"/>
      <w:szCs w:val="32"/>
    </w:rPr>
  </w:style>
  <w:style w:type="paragraph" w:styleId="Heading2">
    <w:name w:val="heading 2"/>
    <w:basedOn w:val="Normal"/>
    <w:next w:val="Normal"/>
    <w:qFormat/>
    <w:rsid w:val="002E292E"/>
    <w:pPr>
      <w:keepNext/>
      <w:widowControl w:val="0"/>
      <w:numPr>
        <w:ilvl w:val="1"/>
        <w:numId w:val="5"/>
      </w:numPr>
      <w:spacing w:before="240" w:after="240"/>
      <w:outlineLvl w:val="1"/>
    </w:pPr>
    <w:rPr>
      <w:rFonts w:cs="Arial"/>
      <w:b/>
      <w:bCs/>
      <w:iCs/>
      <w:snapToGrid w:val="0"/>
      <w:sz w:val="24"/>
      <w:szCs w:val="28"/>
    </w:rPr>
  </w:style>
  <w:style w:type="paragraph" w:styleId="Heading3">
    <w:name w:val="heading 3"/>
    <w:basedOn w:val="Normal"/>
    <w:next w:val="Normal"/>
    <w:qFormat/>
    <w:rsid w:val="006B5FCF"/>
    <w:pPr>
      <w:keepNext/>
      <w:widowControl w:val="0"/>
      <w:numPr>
        <w:ilvl w:val="2"/>
        <w:numId w:val="5"/>
      </w:numPr>
      <w:spacing w:before="240" w:after="240"/>
      <w:outlineLvl w:val="2"/>
    </w:pPr>
    <w:rPr>
      <w:rFonts w:cs="Arial"/>
      <w:b/>
      <w:bCs/>
      <w:snapToGrid w:val="0"/>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Heading">
    <w:name w:val="Default Heading"/>
    <w:basedOn w:val="Heading1"/>
    <w:qFormat/>
    <w:rsid w:val="0067248A"/>
    <w:pPr>
      <w:numPr>
        <w:numId w:val="0"/>
      </w:numPr>
    </w:pPr>
  </w:style>
  <w:style w:type="paragraph" w:styleId="Title">
    <w:name w:val="Title"/>
    <w:basedOn w:val="Normal"/>
    <w:qFormat/>
    <w:rsid w:val="007C7939"/>
    <w:pPr>
      <w:snapToGrid w:val="0"/>
      <w:jc w:val="center"/>
    </w:pPr>
    <w:rPr>
      <w:b/>
      <w:sz w:val="28"/>
      <w:szCs w:val="28"/>
    </w:rPr>
  </w:style>
  <w:style w:type="paragraph" w:styleId="ListNumber">
    <w:name w:val="List Number"/>
    <w:basedOn w:val="Normal"/>
    <w:pPr>
      <w:widowControl w:val="0"/>
      <w:numPr>
        <w:numId w:val="1"/>
      </w:numPr>
    </w:pPr>
    <w:rPr>
      <w:snapToGrid w:val="0"/>
    </w:rPr>
  </w:style>
  <w:style w:type="paragraph" w:styleId="Caption">
    <w:name w:val="caption"/>
    <w:basedOn w:val="Normal"/>
    <w:next w:val="Normal"/>
    <w:qFormat/>
    <w:rsid w:val="00941EE4"/>
    <w:pPr>
      <w:keepNext/>
      <w:jc w:val="center"/>
    </w:pPr>
    <w:rPr>
      <w:b/>
      <w:noProof/>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ListBullet2">
    <w:name w:val="List Bullet 2"/>
    <w:basedOn w:val="Normal"/>
    <w:autoRedefine/>
    <w:pPr>
      <w:widowControl w:val="0"/>
      <w:numPr>
        <w:numId w:val="2"/>
      </w:numPr>
      <w:wordWrap w:val="0"/>
      <w:spacing w:line="280" w:lineRule="exact"/>
    </w:pPr>
    <w:rPr>
      <w:szCs w:val="24"/>
    </w:rPr>
  </w:style>
  <w:style w:type="paragraph" w:styleId="FootnoteText">
    <w:name w:val="footnote text"/>
    <w:basedOn w:val="Normal"/>
    <w:semiHidden/>
    <w:rsid w:val="00671195"/>
    <w:pPr>
      <w:widowControl w:val="0"/>
      <w:wordWrap w:val="0"/>
      <w:spacing w:line="280" w:lineRule="exact"/>
    </w:pPr>
    <w:rPr>
      <w:sz w:val="20"/>
    </w:rPr>
  </w:style>
  <w:style w:type="character" w:styleId="FootnoteReference">
    <w:name w:val="footnote reference"/>
    <w:uiPriority w:val="99"/>
    <w:rPr>
      <w:vertAlign w:val="superscript"/>
    </w:rPr>
  </w:style>
  <w:style w:type="paragraph" w:customStyle="1" w:styleId="Abstract">
    <w:name w:val="Abstract"/>
    <w:basedOn w:val="Normal"/>
    <w:pPr>
      <w:spacing w:line="240" w:lineRule="exact"/>
      <w:ind w:left="720" w:right="720"/>
    </w:pPr>
    <w:rPr>
      <w:sz w:val="20"/>
    </w:rPr>
  </w:style>
  <w:style w:type="numbering" w:customStyle="1" w:styleId="CurrentList1">
    <w:name w:val="Current List1"/>
    <w:uiPriority w:val="99"/>
    <w:rsid w:val="0067248A"/>
    <w:pPr>
      <w:numPr>
        <w:numId w:val="6"/>
      </w:numPr>
    </w:pPr>
  </w:style>
  <w:style w:type="character" w:styleId="Hyperlink">
    <w:name w:val="Hyperlink"/>
    <w:uiPriority w:val="99"/>
    <w:rPr>
      <w:color w:val="0000FF"/>
      <w:u w:val="single"/>
    </w:rPr>
  </w:style>
  <w:style w:type="paragraph" w:styleId="NormalWeb">
    <w:name w:val="Normal (Web)"/>
    <w:basedOn w:val="Normal"/>
    <w:pPr>
      <w:spacing w:before="100" w:beforeAutospacing="1" w:after="100" w:afterAutospacing="1" w:line="280" w:lineRule="exact"/>
    </w:pPr>
    <w:rPr>
      <w:rFonts w:ascii="Batang" w:hAnsi="Batang"/>
      <w:color w:val="000000"/>
      <w:szCs w:val="24"/>
    </w:rPr>
  </w:style>
  <w:style w:type="paragraph" w:customStyle="1" w:styleId="Default">
    <w:name w:val="Default"/>
    <w:rsid w:val="003C2822"/>
    <w:pPr>
      <w:widowControl w:val="0"/>
      <w:autoSpaceDE w:val="0"/>
      <w:autoSpaceDN w:val="0"/>
      <w:adjustRightInd w:val="0"/>
    </w:pPr>
    <w:rPr>
      <w:color w:val="000000"/>
      <w:sz w:val="24"/>
      <w:szCs w:val="24"/>
    </w:rPr>
  </w:style>
  <w:style w:type="character" w:customStyle="1" w:styleId="HeaderChar">
    <w:name w:val="Header Char"/>
    <w:basedOn w:val="DefaultParagraphFont"/>
    <w:link w:val="Header"/>
    <w:uiPriority w:val="99"/>
    <w:rsid w:val="00A379F6"/>
    <w:rPr>
      <w:sz w:val="24"/>
    </w:rPr>
  </w:style>
  <w:style w:type="paragraph" w:styleId="BalloonText">
    <w:name w:val="Balloon Text"/>
    <w:basedOn w:val="Normal"/>
    <w:link w:val="BalloonTextChar"/>
    <w:uiPriority w:val="99"/>
    <w:semiHidden/>
    <w:unhideWhenUsed/>
    <w:rsid w:val="00A379F6"/>
    <w:rPr>
      <w:rFonts w:ascii="Tahoma" w:hAnsi="Tahoma" w:cs="Tahoma"/>
      <w:sz w:val="16"/>
      <w:szCs w:val="16"/>
    </w:rPr>
  </w:style>
  <w:style w:type="character" w:customStyle="1" w:styleId="BalloonTextChar">
    <w:name w:val="Balloon Text Char"/>
    <w:basedOn w:val="DefaultParagraphFont"/>
    <w:link w:val="BalloonText"/>
    <w:uiPriority w:val="99"/>
    <w:semiHidden/>
    <w:rsid w:val="00A379F6"/>
    <w:rPr>
      <w:rFonts w:ascii="Tahoma" w:hAnsi="Tahoma" w:cs="Tahoma"/>
      <w:sz w:val="16"/>
      <w:szCs w:val="16"/>
    </w:rPr>
  </w:style>
  <w:style w:type="character" w:customStyle="1" w:styleId="FooterChar">
    <w:name w:val="Footer Char"/>
    <w:basedOn w:val="DefaultParagraphFont"/>
    <w:link w:val="Footer"/>
    <w:uiPriority w:val="99"/>
    <w:rsid w:val="00C1353C"/>
    <w:rPr>
      <w:sz w:val="24"/>
    </w:rPr>
  </w:style>
  <w:style w:type="paragraph" w:styleId="ListParagraph">
    <w:name w:val="List Paragraph"/>
    <w:basedOn w:val="Normal"/>
    <w:uiPriority w:val="72"/>
    <w:rsid w:val="00A56584"/>
    <w:pPr>
      <w:ind w:left="720"/>
      <w:contextualSpacing/>
    </w:pPr>
  </w:style>
  <w:style w:type="numbering" w:customStyle="1" w:styleId="CurrentList2">
    <w:name w:val="Current List2"/>
    <w:uiPriority w:val="99"/>
    <w:rsid w:val="002E292E"/>
    <w:pPr>
      <w:numPr>
        <w:numId w:val="7"/>
      </w:numPr>
    </w:pPr>
  </w:style>
  <w:style w:type="character" w:styleId="FollowedHyperlink">
    <w:name w:val="FollowedHyperlink"/>
    <w:basedOn w:val="DefaultParagraphFont"/>
    <w:uiPriority w:val="99"/>
    <w:semiHidden/>
    <w:unhideWhenUsed/>
    <w:rsid w:val="00B30C22"/>
    <w:rPr>
      <w:color w:val="800080" w:themeColor="followedHyperlink"/>
      <w:u w:val="single"/>
    </w:rPr>
  </w:style>
  <w:style w:type="paragraph" w:styleId="Revision">
    <w:name w:val="Revision"/>
    <w:hidden/>
    <w:uiPriority w:val="71"/>
    <w:semiHidden/>
    <w:rsid w:val="00926E1A"/>
    <w:rPr>
      <w:sz w:val="24"/>
    </w:rPr>
  </w:style>
  <w:style w:type="paragraph" w:customStyle="1" w:styleId="References">
    <w:name w:val="References"/>
    <w:qFormat/>
    <w:rsid w:val="008E4FE0"/>
    <w:pPr>
      <w:numPr>
        <w:numId w:val="4"/>
      </w:numPr>
      <w:spacing w:after="120"/>
      <w:ind w:left="360"/>
    </w:pPr>
    <w:rPr>
      <w:rFonts w:eastAsia="Batang"/>
      <w:kern w:val="2"/>
      <w:sz w:val="22"/>
      <w:szCs w:val="24"/>
      <w:lang w:eastAsia="ko-KR"/>
    </w:rPr>
  </w:style>
  <w:style w:type="paragraph" w:styleId="Subtitle">
    <w:name w:val="Subtitle"/>
    <w:basedOn w:val="Normal"/>
    <w:next w:val="Normal"/>
    <w:link w:val="SubtitleChar"/>
    <w:uiPriority w:val="11"/>
    <w:qFormat/>
    <w:rsid w:val="007C7939"/>
    <w:pPr>
      <w:snapToGrid w:val="0"/>
      <w:jc w:val="center"/>
    </w:pPr>
    <w:rPr>
      <w:b/>
      <w:szCs w:val="24"/>
    </w:rPr>
  </w:style>
  <w:style w:type="character" w:customStyle="1" w:styleId="SubtitleChar">
    <w:name w:val="Subtitle Char"/>
    <w:basedOn w:val="DefaultParagraphFont"/>
    <w:link w:val="Subtitle"/>
    <w:uiPriority w:val="11"/>
    <w:rsid w:val="007C7939"/>
    <w:rPr>
      <w:b/>
      <w:sz w:val="24"/>
      <w:szCs w:val="24"/>
    </w:rPr>
  </w:style>
  <w:style w:type="table" w:styleId="TableGrid">
    <w:name w:val="Table Grid"/>
    <w:basedOn w:val="TableNormal"/>
    <w:uiPriority w:val="39"/>
    <w:rsid w:val="006B5FCF"/>
    <w:rPr>
      <w:rFonts w:asciiTheme="minorHAnsi" w:eastAsiaTheme="minorHAnsi"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quation">
    <w:name w:val="Equation"/>
    <w:basedOn w:val="Normal"/>
    <w:qFormat/>
    <w:rsid w:val="006B5FCF"/>
    <w:pPr>
      <w:spacing w:before="60" w:after="60"/>
      <w:jc w:val="center"/>
    </w:pPr>
    <w:rPr>
      <w:rFonts w:eastAsiaTheme="minorHAnsi" w:cstheme="minorBidi"/>
      <w:kern w:val="0"/>
      <w:szCs w:val="24"/>
      <w:lang w:eastAsia="en-US"/>
    </w:rPr>
  </w:style>
  <w:style w:type="table" w:styleId="PlainTable3">
    <w:name w:val="Plain Table 3"/>
    <w:basedOn w:val="TableNormal"/>
    <w:uiPriority w:val="43"/>
    <w:rsid w:val="00016528"/>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831DFC"/>
    <w:pPr>
      <w:spacing w:before="480" w:after="480"/>
    </w:pPr>
    <w:rPr>
      <w:sz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016528"/>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16528"/>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Table">
    <w:name w:val="Table"/>
    <w:basedOn w:val="Normal"/>
    <w:qFormat/>
    <w:rsid w:val="00831DFC"/>
    <w:pPr>
      <w:spacing w:before="0" w:after="0"/>
    </w:pPr>
    <w:rPr>
      <w:bCs/>
    </w:rPr>
  </w:style>
  <w:style w:type="paragraph" w:customStyle="1" w:styleId="TableCaption">
    <w:name w:val="Table Caption"/>
    <w:basedOn w:val="Caption"/>
    <w:qFormat/>
    <w:rsid w:val="00AA1BED"/>
    <w:pPr>
      <w:spacing w:before="480"/>
    </w:pPr>
  </w:style>
  <w:style w:type="character" w:styleId="CommentReference">
    <w:name w:val="annotation reference"/>
    <w:basedOn w:val="DefaultParagraphFont"/>
    <w:semiHidden/>
    <w:rsid w:val="00282FB7"/>
    <w:rPr>
      <w:sz w:val="16"/>
      <w:szCs w:val="16"/>
    </w:rPr>
  </w:style>
  <w:style w:type="paragraph" w:styleId="CommentText">
    <w:name w:val="annotation text"/>
    <w:basedOn w:val="Normal"/>
    <w:link w:val="CommentTextChar"/>
    <w:unhideWhenUsed/>
    <w:rsid w:val="00282FB7"/>
    <w:pPr>
      <w:spacing w:before="0" w:after="0"/>
      <w:jc w:val="left"/>
    </w:pPr>
    <w:rPr>
      <w:rFonts w:eastAsia="Times New Roman"/>
      <w:kern w:val="0"/>
      <w:sz w:val="20"/>
      <w:szCs w:val="20"/>
      <w:lang w:eastAsia="en-US"/>
    </w:rPr>
  </w:style>
  <w:style w:type="character" w:customStyle="1" w:styleId="CommentTextChar">
    <w:name w:val="Comment Text Char"/>
    <w:basedOn w:val="DefaultParagraphFont"/>
    <w:link w:val="CommentText"/>
    <w:rsid w:val="00282FB7"/>
    <w:rPr>
      <w:rFonts w:eastAsia="Times New Roman"/>
    </w:rPr>
  </w:style>
  <w:style w:type="character" w:styleId="Mention">
    <w:name w:val="Mention"/>
    <w:basedOn w:val="DefaultParagraphFont"/>
    <w:uiPriority w:val="99"/>
    <w:unhideWhenUsed/>
    <w:rsid w:val="00282FB7"/>
    <w:rPr>
      <w:color w:val="2B579A"/>
      <w:shd w:val="clear" w:color="auto" w:fill="E6E6E6"/>
    </w:rPr>
  </w:style>
  <w:style w:type="paragraph" w:styleId="ListBullet4">
    <w:name w:val="List Bullet 4"/>
    <w:rsid w:val="00EA356B"/>
    <w:pPr>
      <w:numPr>
        <w:numId w:val="12"/>
      </w:numPr>
      <w:tabs>
        <w:tab w:val="clear" w:pos="1440"/>
        <w:tab w:val="num" w:pos="360"/>
      </w:tabs>
      <w:ind w:left="360"/>
    </w:pPr>
    <w:rPr>
      <w:rFonts w:eastAsia="Times New Roman"/>
      <w:sz w:val="22"/>
    </w:rPr>
  </w:style>
  <w:style w:type="paragraph" w:styleId="CommentSubject">
    <w:name w:val="annotation subject"/>
    <w:basedOn w:val="CommentText"/>
    <w:next w:val="CommentText"/>
    <w:link w:val="CommentSubjectChar"/>
    <w:uiPriority w:val="99"/>
    <w:semiHidden/>
    <w:unhideWhenUsed/>
    <w:rsid w:val="00D95046"/>
    <w:pPr>
      <w:spacing w:before="120" w:after="120"/>
      <w:jc w:val="both"/>
    </w:pPr>
    <w:rPr>
      <w:rFonts w:eastAsia="Batang"/>
      <w:b/>
      <w:bCs/>
      <w:kern w:val="2"/>
      <w:lang w:eastAsia="ko-KR"/>
    </w:rPr>
  </w:style>
  <w:style w:type="character" w:customStyle="1" w:styleId="CommentSubjectChar">
    <w:name w:val="Comment Subject Char"/>
    <w:basedOn w:val="CommentTextChar"/>
    <w:link w:val="CommentSubject"/>
    <w:uiPriority w:val="99"/>
    <w:semiHidden/>
    <w:rsid w:val="00D95046"/>
    <w:rPr>
      <w:rFonts w:eastAsia="Batang"/>
      <w:b/>
      <w:bCs/>
      <w:kern w:val="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038451">
      <w:bodyDiv w:val="1"/>
      <w:marLeft w:val="0"/>
      <w:marRight w:val="0"/>
      <w:marTop w:val="0"/>
      <w:marBottom w:val="0"/>
      <w:divBdr>
        <w:top w:val="none" w:sz="0" w:space="0" w:color="auto"/>
        <w:left w:val="none" w:sz="0" w:space="0" w:color="auto"/>
        <w:bottom w:val="none" w:sz="0" w:space="0" w:color="auto"/>
        <w:right w:val="none" w:sz="0" w:space="0" w:color="auto"/>
      </w:divBdr>
      <w:divsChild>
        <w:div w:id="190461010">
          <w:marLeft w:val="0"/>
          <w:marRight w:val="0"/>
          <w:marTop w:val="0"/>
          <w:marBottom w:val="0"/>
          <w:divBdr>
            <w:top w:val="none" w:sz="0" w:space="0" w:color="auto"/>
            <w:left w:val="none" w:sz="0" w:space="0" w:color="auto"/>
            <w:bottom w:val="none" w:sz="0" w:space="0" w:color="auto"/>
            <w:right w:val="none" w:sz="0" w:space="0" w:color="auto"/>
          </w:divBdr>
          <w:divsChild>
            <w:div w:id="1391731815">
              <w:marLeft w:val="0"/>
              <w:marRight w:val="0"/>
              <w:marTop w:val="0"/>
              <w:marBottom w:val="0"/>
              <w:divBdr>
                <w:top w:val="none" w:sz="0" w:space="0" w:color="auto"/>
                <w:left w:val="none" w:sz="0" w:space="0" w:color="auto"/>
                <w:bottom w:val="none" w:sz="0" w:space="0" w:color="auto"/>
                <w:right w:val="none" w:sz="0" w:space="0" w:color="auto"/>
              </w:divBdr>
              <w:divsChild>
                <w:div w:id="1209148787">
                  <w:marLeft w:val="0"/>
                  <w:marRight w:val="0"/>
                  <w:marTop w:val="0"/>
                  <w:marBottom w:val="0"/>
                  <w:divBdr>
                    <w:top w:val="none" w:sz="0" w:space="0" w:color="auto"/>
                    <w:left w:val="none" w:sz="0" w:space="0" w:color="auto"/>
                    <w:bottom w:val="none" w:sz="0" w:space="0" w:color="auto"/>
                    <w:right w:val="none" w:sz="0" w:space="0" w:color="auto"/>
                  </w:divBdr>
                  <w:divsChild>
                    <w:div w:id="49607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nrc.gov/reading-rm/doc-collections/nuregs/contract/cr6895/index.html" TargetMode="External"/><Relationship Id="rId2" Type="http://schemas.openxmlformats.org/officeDocument/2006/relationships/customXml" Target="../customXml/item2.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davis\American%20Nuclear%20Society\Meetings%20and%20Events%20-%20General\_2025%20Meetings\2025%20Annual%20Meeting\Embedded%20-%20PSA\PSA%202025%20Call%20for%20Papers\PSA%202025%20Pape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8461321C1F54446BFD4E987FDA88BEF" ma:contentTypeVersion="20" ma:contentTypeDescription="Create a new document." ma:contentTypeScope="" ma:versionID="c605cfceead31df35163a1958989cf3d">
  <xsd:schema xmlns:xsd="http://www.w3.org/2001/XMLSchema" xmlns:xs="http://www.w3.org/2001/XMLSchema" xmlns:p="http://schemas.microsoft.com/office/2006/metadata/properties" xmlns:ns2="849846e1-bda1-47e0-aa50-8d0330532529" xmlns:ns3="c0bc0778-b2ef-4fff-b38e-f356b7192932" targetNamespace="http://schemas.microsoft.com/office/2006/metadata/properties" ma:root="true" ma:fieldsID="90ccba9ad642bfa783fde65f76ffdf6a" ns2:_="" ns3:_="">
    <xsd:import namespace="849846e1-bda1-47e0-aa50-8d0330532529"/>
    <xsd:import namespace="c0bc0778-b2ef-4fff-b38e-f356b719293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Preview" minOccurs="0"/>
                <xsd:element ref="ns2:preview0"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9846e1-bda1-47e0-aa50-8d03305325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Preview" ma:index="21" nillable="true" ma:displayName="Preview" ma:format="Thumbnail" ma:internalName="Preview">
      <xsd:simpleType>
        <xsd:restriction base="dms:Unknown"/>
      </xsd:simpleType>
    </xsd:element>
    <xsd:element name="preview0" ma:index="22" nillable="true" ma:displayName="preview" ma:format="Thumbnail" ma:internalName="preview0">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da81e856-da4e-4d70-b14e-1ab195ccf85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bc0778-b2ef-4fff-b38e-f356b719293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d30b94ec-b28d-4500-a045-927c3f65acdd}" ma:internalName="TaxCatchAll" ma:showField="CatchAllData" ma:web="c0bc0778-b2ef-4fff-b38e-f356b71929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DEFB55-D070-874A-80E9-D1A7FC3CA90F}">
  <ds:schemaRefs>
    <ds:schemaRef ds:uri="http://schemas.openxmlformats.org/officeDocument/2006/bibliography"/>
  </ds:schemaRefs>
</ds:datastoreItem>
</file>

<file path=customXml/itemProps2.xml><?xml version="1.0" encoding="utf-8"?>
<ds:datastoreItem xmlns:ds="http://schemas.openxmlformats.org/officeDocument/2006/customXml" ds:itemID="{28AE9806-4D28-4103-81EF-4438DC73FD3F}">
  <ds:schemaRefs>
    <ds:schemaRef ds:uri="http://schemas.microsoft.com/sharepoint/v3/contenttype/forms"/>
  </ds:schemaRefs>
</ds:datastoreItem>
</file>

<file path=customXml/itemProps3.xml><?xml version="1.0" encoding="utf-8"?>
<ds:datastoreItem xmlns:ds="http://schemas.openxmlformats.org/officeDocument/2006/customXml" ds:itemID="{EF74068D-1193-4D3F-8AAD-302661142D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9846e1-bda1-47e0-aa50-8d0330532529"/>
    <ds:schemaRef ds:uri="c0bc0778-b2ef-4fff-b38e-f356b71929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C:\Users\jdavis\American Nuclear Society\Meetings and Events - General\_2025 Meetings\2025 Annual Meeting\Embedded - PSA\PSA 2025 Call for Papers\PSA 2025 Paper Template.dotx</Template>
  <TotalTime>1603</TotalTime>
  <Pages>10</Pages>
  <Words>4380</Words>
  <Characters>24968</Characters>
  <Application>Microsoft Office Word</Application>
  <DocSecurity>0</DocSecurity>
  <Lines>208</Lines>
  <Paragraphs>58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M&amp;C 2021 Paper Template</vt:lpstr>
      <vt:lpstr>NURETH12 Paper Template</vt:lpstr>
    </vt:vector>
  </TitlesOfParts>
  <Manager/>
  <Company>MCD</Company>
  <LinksUpToDate>false</LinksUpToDate>
  <CharactersWithSpaces>29290</CharactersWithSpaces>
  <SharedDoc>false</SharedDoc>
  <HyperlinkBase/>
  <HLinks>
    <vt:vector size="6" baseType="variant">
      <vt:variant>
        <vt:i4>2359338</vt:i4>
      </vt:variant>
      <vt:variant>
        <vt:i4>6298</vt:i4>
      </vt:variant>
      <vt:variant>
        <vt:i4>1026</vt:i4>
      </vt:variant>
      <vt:variant>
        <vt:i4>1</vt:i4>
      </vt:variant>
      <vt:variant>
        <vt:lpwstr>flow_regimes-48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M&amp;C 2021 Paper Template</dc:title>
  <dc:subject/>
  <dc:creator>Janet Davis</dc:creator>
  <cp:keywords/>
  <dc:description/>
  <cp:lastModifiedBy>Diego Mandelli</cp:lastModifiedBy>
  <cp:revision>22</cp:revision>
  <cp:lastPrinted>2020-04-15T14:08:00Z</cp:lastPrinted>
  <dcterms:created xsi:type="dcterms:W3CDTF">2024-11-05T21:16:00Z</dcterms:created>
  <dcterms:modified xsi:type="dcterms:W3CDTF">2025-03-11T21:12:00Z</dcterms:modified>
  <cp:category/>
</cp:coreProperties>
</file>